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36D5" w14:textId="77777777" w:rsidR="00AB0821" w:rsidRPr="00304569" w:rsidRDefault="00AB0821" w:rsidP="00AB0821">
      <w:pPr>
        <w:pStyle w:val="FLSHeading3Bold"/>
        <w:rPr>
          <w:lang w:val="en-GB"/>
        </w:rPr>
      </w:pPr>
      <w:r w:rsidRPr="00304569">
        <w:rPr>
          <w:lang w:val="en-GB"/>
        </w:rPr>
        <w:t xml:space="preserve">Appendix </w:t>
      </w:r>
      <w:r>
        <w:rPr>
          <w:lang w:val="en-GB"/>
        </w:rPr>
        <w:t>1</w:t>
      </w:r>
      <w:r w:rsidRPr="00304569">
        <w:rPr>
          <w:lang w:val="en-GB"/>
        </w:rPr>
        <w:t>:  Consultation record</w:t>
      </w:r>
    </w:p>
    <w:p w14:paraId="6CFE4612" w14:textId="66FF0258" w:rsidR="00AB0821" w:rsidRPr="00304569" w:rsidRDefault="00AB0821" w:rsidP="00AB0821">
      <w:pPr>
        <w:pStyle w:val="FLSBody"/>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nsultation Record"/>
        <w:tblDescription w:val="This table records the issues raised and FLS response during the consultation process"/>
      </w:tblPr>
      <w:tblGrid>
        <w:gridCol w:w="2184"/>
        <w:gridCol w:w="2050"/>
        <w:gridCol w:w="5200"/>
        <w:gridCol w:w="4514"/>
      </w:tblGrid>
      <w:tr w:rsidR="00B241AE" w:rsidRPr="006C7A07" w14:paraId="794B8FB2" w14:textId="77777777" w:rsidTr="00AB0821">
        <w:trPr>
          <w:tblHeader/>
        </w:trPr>
        <w:tc>
          <w:tcPr>
            <w:tcW w:w="783" w:type="pct"/>
            <w:shd w:val="clear" w:color="auto" w:fill="D9D9D9"/>
          </w:tcPr>
          <w:p w14:paraId="66047E8E" w14:textId="77777777" w:rsidR="00B241AE" w:rsidRPr="00C8315C" w:rsidRDefault="00B241AE" w:rsidP="00B226B9">
            <w:pPr>
              <w:pStyle w:val="FLSBody"/>
              <w:rPr>
                <w:b/>
                <w:bCs/>
                <w:lang w:val="en-GB"/>
              </w:rPr>
            </w:pPr>
            <w:r w:rsidRPr="00C8315C">
              <w:rPr>
                <w:b/>
                <w:bCs/>
                <w:lang w:val="en-GB"/>
              </w:rPr>
              <w:t xml:space="preserve">Issue </w:t>
            </w:r>
          </w:p>
        </w:tc>
        <w:tc>
          <w:tcPr>
            <w:tcW w:w="735" w:type="pct"/>
            <w:shd w:val="clear" w:color="auto" w:fill="D9D9D9"/>
          </w:tcPr>
          <w:p w14:paraId="5577E9F9" w14:textId="77777777" w:rsidR="00B241AE" w:rsidRPr="00C8315C" w:rsidRDefault="00B241AE" w:rsidP="00B226B9">
            <w:pPr>
              <w:pStyle w:val="FLSBody"/>
              <w:rPr>
                <w:b/>
                <w:bCs/>
                <w:lang w:val="en-GB"/>
              </w:rPr>
            </w:pPr>
            <w:r w:rsidRPr="00C8315C">
              <w:rPr>
                <w:b/>
                <w:bCs/>
                <w:lang w:val="en-GB"/>
              </w:rPr>
              <w:t>Raised by</w:t>
            </w:r>
          </w:p>
        </w:tc>
        <w:tc>
          <w:tcPr>
            <w:tcW w:w="1864" w:type="pct"/>
            <w:shd w:val="clear" w:color="auto" w:fill="D9D9D9"/>
          </w:tcPr>
          <w:p w14:paraId="7457CDDF" w14:textId="77777777" w:rsidR="00B241AE" w:rsidRPr="00C8315C" w:rsidRDefault="00B241AE" w:rsidP="00B226B9">
            <w:pPr>
              <w:pStyle w:val="FLSBody"/>
              <w:rPr>
                <w:b/>
                <w:bCs/>
                <w:lang w:val="en-GB"/>
              </w:rPr>
            </w:pPr>
            <w:r w:rsidRPr="00C8315C">
              <w:rPr>
                <w:b/>
                <w:bCs/>
                <w:lang w:val="en-GB"/>
              </w:rPr>
              <w:t>Requirement / Recommendation / Concern / Aspiration</w:t>
            </w:r>
          </w:p>
        </w:tc>
        <w:tc>
          <w:tcPr>
            <w:tcW w:w="1618" w:type="pct"/>
            <w:shd w:val="clear" w:color="auto" w:fill="D9D9D9"/>
          </w:tcPr>
          <w:p w14:paraId="6781CABC" w14:textId="77777777" w:rsidR="00B241AE" w:rsidRPr="00C8315C" w:rsidRDefault="00B241AE" w:rsidP="00B226B9">
            <w:pPr>
              <w:pStyle w:val="FLSBody"/>
              <w:rPr>
                <w:b/>
                <w:bCs/>
                <w:lang w:val="en-GB"/>
              </w:rPr>
            </w:pPr>
            <w:r w:rsidRPr="00C8315C">
              <w:rPr>
                <w:b/>
                <w:bCs/>
                <w:lang w:val="en-GB"/>
              </w:rPr>
              <w:t>FLS Response</w:t>
            </w:r>
          </w:p>
        </w:tc>
      </w:tr>
      <w:tr w:rsidR="00B241AE" w:rsidRPr="00304569" w14:paraId="2F95DEE3" w14:textId="77777777" w:rsidTr="00AB0821">
        <w:tc>
          <w:tcPr>
            <w:tcW w:w="783" w:type="pct"/>
          </w:tcPr>
          <w:p w14:paraId="62D4941A" w14:textId="77777777" w:rsidR="00B241AE" w:rsidRPr="00A1133B" w:rsidRDefault="00B241AE" w:rsidP="00B226B9">
            <w:pPr>
              <w:pStyle w:val="FLSBody"/>
              <w:rPr>
                <w:rFonts w:cs="Calibri"/>
                <w:sz w:val="22"/>
                <w:lang w:val="en-GB"/>
              </w:rPr>
            </w:pPr>
            <w:r w:rsidRPr="00A1133B">
              <w:rPr>
                <w:rFonts w:cs="Calibri"/>
                <w:sz w:val="22"/>
                <w:lang w:val="en-GB"/>
              </w:rPr>
              <w:t>Access</w:t>
            </w:r>
          </w:p>
        </w:tc>
        <w:tc>
          <w:tcPr>
            <w:tcW w:w="735" w:type="pct"/>
          </w:tcPr>
          <w:p w14:paraId="10428DC7" w14:textId="77777777" w:rsidR="00B241AE" w:rsidRPr="00A1133B" w:rsidRDefault="00B241AE" w:rsidP="00B226B9">
            <w:pPr>
              <w:pStyle w:val="FLSBody"/>
              <w:rPr>
                <w:rFonts w:cs="Calibri"/>
                <w:sz w:val="22"/>
                <w:lang w:val="en-GB"/>
              </w:rPr>
            </w:pPr>
            <w:r w:rsidRPr="00A1133B">
              <w:rPr>
                <w:rFonts w:cs="Calibri"/>
                <w:sz w:val="22"/>
                <w:lang w:val="en-GB"/>
              </w:rPr>
              <w:t>Moray Council</w:t>
            </w:r>
          </w:p>
        </w:tc>
        <w:tc>
          <w:tcPr>
            <w:tcW w:w="1864" w:type="pct"/>
          </w:tcPr>
          <w:p w14:paraId="6445C715" w14:textId="77777777" w:rsidR="00B241AE" w:rsidRPr="00A1133B" w:rsidRDefault="00B241AE" w:rsidP="00B226B9">
            <w:pPr>
              <w:pStyle w:val="FLSBody"/>
              <w:rPr>
                <w:rFonts w:cs="Calibri"/>
                <w:sz w:val="22"/>
                <w:lang w:val="en-GB"/>
              </w:rPr>
            </w:pPr>
            <w:r w:rsidRPr="00A1133B">
              <w:rPr>
                <w:rFonts w:cs="Calibri"/>
                <w:sz w:val="22"/>
                <w:lang w:val="en-GB"/>
              </w:rPr>
              <w:t>Requirement for consultation with Moray Council prior to carrying out operations likely to impact Core Paths present.</w:t>
            </w:r>
          </w:p>
          <w:p w14:paraId="63F36EE2" w14:textId="77777777" w:rsidR="00B241AE" w:rsidRPr="00A1133B" w:rsidRDefault="00B241AE" w:rsidP="00B226B9">
            <w:pPr>
              <w:pStyle w:val="FLSBody"/>
              <w:rPr>
                <w:rFonts w:cs="Calibri"/>
                <w:sz w:val="22"/>
                <w:lang w:val="en-GB"/>
              </w:rPr>
            </w:pPr>
          </w:p>
          <w:p w14:paraId="0CF1B06B" w14:textId="77777777" w:rsidR="00B241AE" w:rsidRPr="00A1133B" w:rsidRDefault="00B241AE" w:rsidP="00B226B9">
            <w:pPr>
              <w:pStyle w:val="FLSBody"/>
              <w:rPr>
                <w:rFonts w:cs="Calibri"/>
                <w:sz w:val="22"/>
                <w:lang w:val="en-GB"/>
              </w:rPr>
            </w:pPr>
            <w:r w:rsidRPr="00A1133B">
              <w:rPr>
                <w:rFonts w:cs="Calibri"/>
                <w:sz w:val="22"/>
                <w:lang w:val="en-GB"/>
              </w:rPr>
              <w:t>Request that notice is given in advance of operations in areas of high public use.</w:t>
            </w:r>
          </w:p>
          <w:p w14:paraId="2F09A3F5" w14:textId="77777777" w:rsidR="00B241AE" w:rsidRPr="00A1133B" w:rsidRDefault="00B241AE" w:rsidP="00B226B9">
            <w:pPr>
              <w:pStyle w:val="FLSBody"/>
              <w:rPr>
                <w:rFonts w:cs="Calibri"/>
                <w:sz w:val="22"/>
                <w:lang w:val="en-GB"/>
              </w:rPr>
            </w:pPr>
          </w:p>
          <w:p w14:paraId="1FE3B27E" w14:textId="77777777" w:rsidR="00B241AE" w:rsidRPr="00A1133B" w:rsidRDefault="00B241AE" w:rsidP="00B226B9">
            <w:pPr>
              <w:pStyle w:val="FLSBody"/>
              <w:rPr>
                <w:rFonts w:cs="Calibri"/>
                <w:sz w:val="22"/>
                <w:lang w:val="en-GB"/>
              </w:rPr>
            </w:pPr>
            <w:r w:rsidRPr="00A1133B">
              <w:rPr>
                <w:rFonts w:cs="Calibri"/>
                <w:sz w:val="22"/>
                <w:lang w:val="en-GB"/>
              </w:rPr>
              <w:t>Request that if fencing is required, pedestrian access gates should be added to facilitate access.</w:t>
            </w:r>
          </w:p>
        </w:tc>
        <w:tc>
          <w:tcPr>
            <w:tcW w:w="1618" w:type="pct"/>
          </w:tcPr>
          <w:p w14:paraId="7D433FFF" w14:textId="77777777" w:rsidR="00B241AE" w:rsidRPr="00A1133B" w:rsidRDefault="00B241AE" w:rsidP="00B226B9">
            <w:pPr>
              <w:pStyle w:val="FLSBody"/>
              <w:rPr>
                <w:rFonts w:cs="Calibri"/>
                <w:color w:val="FF0000"/>
                <w:sz w:val="22"/>
                <w:lang w:val="en-GB"/>
              </w:rPr>
            </w:pPr>
            <w:r w:rsidRPr="00A1133B">
              <w:rPr>
                <w:rFonts w:cs="Calibri"/>
                <w:sz w:val="22"/>
                <w:lang w:val="en-GB"/>
              </w:rPr>
              <w:t xml:space="preserve">Requirement for consultation prior to operations noted </w:t>
            </w:r>
            <w:r w:rsidRPr="00634B92">
              <w:rPr>
                <w:rFonts w:cs="Calibri"/>
                <w:sz w:val="22"/>
                <w:lang w:val="en-GB"/>
              </w:rPr>
              <w:t>in plan text.</w:t>
            </w:r>
          </w:p>
          <w:p w14:paraId="17FB0AA2" w14:textId="77777777" w:rsidR="00B241AE" w:rsidRPr="00A1133B" w:rsidRDefault="00B241AE" w:rsidP="00B226B9">
            <w:pPr>
              <w:pStyle w:val="FLSBody"/>
              <w:rPr>
                <w:rFonts w:cs="Calibri"/>
                <w:color w:val="FF0000"/>
                <w:sz w:val="22"/>
                <w:lang w:val="en-GB"/>
              </w:rPr>
            </w:pPr>
          </w:p>
          <w:p w14:paraId="14D39909" w14:textId="77777777" w:rsidR="00B241AE" w:rsidRPr="00A1133B" w:rsidRDefault="00B241AE" w:rsidP="00B226B9">
            <w:pPr>
              <w:pStyle w:val="FLSBody"/>
              <w:rPr>
                <w:rFonts w:cs="Calibri"/>
                <w:color w:val="FF0000"/>
                <w:sz w:val="22"/>
                <w:lang w:val="en-GB"/>
              </w:rPr>
            </w:pPr>
          </w:p>
          <w:p w14:paraId="14A299E1" w14:textId="77777777" w:rsidR="00B241AE" w:rsidRPr="00A1133B" w:rsidRDefault="00B241AE" w:rsidP="00B226B9">
            <w:pPr>
              <w:pStyle w:val="FLSBody"/>
              <w:rPr>
                <w:rFonts w:cs="Calibri"/>
                <w:sz w:val="22"/>
                <w:lang w:val="en-GB"/>
              </w:rPr>
            </w:pPr>
            <w:r w:rsidRPr="00A1133B">
              <w:rPr>
                <w:rFonts w:cs="Calibri"/>
                <w:sz w:val="22"/>
                <w:lang w:val="en-GB"/>
              </w:rPr>
              <w:t>FLS operations teams to place signage in advance of operations in high public use areas.</w:t>
            </w:r>
          </w:p>
          <w:p w14:paraId="3CF61BA3" w14:textId="77777777" w:rsidR="00B241AE" w:rsidRPr="00A1133B" w:rsidRDefault="00B241AE" w:rsidP="00B226B9">
            <w:pPr>
              <w:pStyle w:val="FLSBody"/>
              <w:rPr>
                <w:rFonts w:cs="Calibri"/>
                <w:sz w:val="22"/>
                <w:lang w:val="en-GB"/>
              </w:rPr>
            </w:pPr>
          </w:p>
          <w:p w14:paraId="488F2052" w14:textId="77777777" w:rsidR="00B241AE" w:rsidRPr="00634B92" w:rsidRDefault="00B241AE" w:rsidP="00B226B9">
            <w:pPr>
              <w:pStyle w:val="FLSBody"/>
              <w:rPr>
                <w:rFonts w:cs="Calibri"/>
                <w:sz w:val="22"/>
                <w:lang w:val="en-GB"/>
              </w:rPr>
            </w:pPr>
            <w:r w:rsidRPr="00634B92">
              <w:rPr>
                <w:rFonts w:cs="Calibri"/>
                <w:sz w:val="22"/>
                <w:lang w:val="en-GB"/>
              </w:rPr>
              <w:t>Noted in LMP text.</w:t>
            </w:r>
          </w:p>
          <w:p w14:paraId="35D7B70B" w14:textId="77777777" w:rsidR="00B241AE" w:rsidRPr="00A1133B" w:rsidRDefault="00B241AE" w:rsidP="00B226B9">
            <w:pPr>
              <w:pStyle w:val="FLSBody"/>
              <w:rPr>
                <w:rFonts w:cs="Calibri"/>
                <w:sz w:val="22"/>
                <w:lang w:val="en-GB"/>
              </w:rPr>
            </w:pPr>
          </w:p>
        </w:tc>
      </w:tr>
      <w:tr w:rsidR="00B241AE" w:rsidRPr="00304569" w14:paraId="4906420B" w14:textId="77777777" w:rsidTr="00AB0821">
        <w:tc>
          <w:tcPr>
            <w:tcW w:w="783" w:type="pct"/>
          </w:tcPr>
          <w:p w14:paraId="239485A8" w14:textId="77777777" w:rsidR="00B241AE" w:rsidRPr="00A1133B" w:rsidRDefault="00B241AE" w:rsidP="00B226B9">
            <w:pPr>
              <w:pStyle w:val="FLSBody"/>
              <w:rPr>
                <w:rFonts w:cs="Calibri"/>
                <w:sz w:val="22"/>
                <w:lang w:val="en-GB"/>
              </w:rPr>
            </w:pPr>
            <w:r w:rsidRPr="00A1133B">
              <w:rPr>
                <w:rFonts w:cs="Calibri"/>
                <w:sz w:val="22"/>
                <w:lang w:val="en-GB"/>
              </w:rPr>
              <w:t>Access</w:t>
            </w:r>
          </w:p>
        </w:tc>
        <w:tc>
          <w:tcPr>
            <w:tcW w:w="735" w:type="pct"/>
          </w:tcPr>
          <w:p w14:paraId="13D833AF" w14:textId="77777777" w:rsidR="00B241AE" w:rsidRPr="00A1133B" w:rsidRDefault="00B241AE" w:rsidP="00B226B9">
            <w:pPr>
              <w:pStyle w:val="FLSBody"/>
              <w:rPr>
                <w:rFonts w:cs="Calibri"/>
                <w:sz w:val="22"/>
                <w:lang w:val="en-GB"/>
              </w:rPr>
            </w:pPr>
            <w:r w:rsidRPr="00A1133B">
              <w:rPr>
                <w:rFonts w:cs="Calibri"/>
                <w:sz w:val="22"/>
                <w:lang w:val="en-GB"/>
              </w:rPr>
              <w:t>Finderne Development Trust</w:t>
            </w:r>
          </w:p>
        </w:tc>
        <w:tc>
          <w:tcPr>
            <w:tcW w:w="1864" w:type="pct"/>
          </w:tcPr>
          <w:p w14:paraId="68437625" w14:textId="77777777" w:rsidR="00B241AE" w:rsidRPr="00A1133B" w:rsidRDefault="00B241AE" w:rsidP="006920D6">
            <w:pPr>
              <w:rPr>
                <w:rFonts w:cs="Calibri"/>
              </w:rPr>
            </w:pPr>
            <w:r w:rsidRPr="00A1133B">
              <w:rPr>
                <w:rFonts w:cs="Calibri"/>
              </w:rPr>
              <w:t>Noted core path which traverses part of the LMP area is missing from FLS constraints layer at present.</w:t>
            </w:r>
          </w:p>
          <w:p w14:paraId="7F1864C5" w14:textId="77777777" w:rsidR="00B241AE" w:rsidRPr="00A1133B" w:rsidRDefault="00B241AE" w:rsidP="00B226B9">
            <w:pPr>
              <w:pStyle w:val="FLSBody"/>
              <w:rPr>
                <w:rFonts w:cs="Calibri"/>
                <w:sz w:val="22"/>
                <w:lang w:val="en-GB"/>
              </w:rPr>
            </w:pPr>
            <w:r w:rsidRPr="00A1133B">
              <w:rPr>
                <w:rFonts w:cs="Calibri"/>
                <w:sz w:val="22"/>
              </w:rPr>
              <w:t>Request for a commitment to maintain forest roads for public access (walking, cycling, horse riding) and to retain informal parking areas at the north end of the forest.</w:t>
            </w:r>
          </w:p>
        </w:tc>
        <w:tc>
          <w:tcPr>
            <w:tcW w:w="1618" w:type="pct"/>
          </w:tcPr>
          <w:p w14:paraId="65DED904" w14:textId="77777777" w:rsidR="00B241AE" w:rsidRPr="00A1133B" w:rsidRDefault="00B241AE" w:rsidP="00B226B9">
            <w:pPr>
              <w:pStyle w:val="FLSBody"/>
              <w:rPr>
                <w:rFonts w:cs="Calibri"/>
                <w:sz w:val="22"/>
                <w:lang w:val="en-GB"/>
              </w:rPr>
            </w:pPr>
            <w:r w:rsidRPr="00A1133B">
              <w:rPr>
                <w:rFonts w:cs="Calibri"/>
                <w:sz w:val="22"/>
                <w:lang w:val="en-GB"/>
              </w:rPr>
              <w:t>Missing core path now added to FLS data and shown in Map 2 – Key Features</w:t>
            </w:r>
          </w:p>
          <w:p w14:paraId="31386D9C" w14:textId="77777777" w:rsidR="00B241AE" w:rsidRPr="00A1133B" w:rsidRDefault="00B241AE" w:rsidP="00B226B9">
            <w:pPr>
              <w:pStyle w:val="FLSBody"/>
              <w:rPr>
                <w:rFonts w:cs="Calibri"/>
                <w:sz w:val="22"/>
                <w:lang w:val="en-GB"/>
              </w:rPr>
            </w:pPr>
          </w:p>
          <w:p w14:paraId="5CD1B683" w14:textId="77777777" w:rsidR="00B241AE" w:rsidRPr="00A1133B" w:rsidRDefault="00B241AE" w:rsidP="00A1133B">
            <w:pPr>
              <w:pStyle w:val="FLSBody"/>
              <w:rPr>
                <w:rFonts w:cs="Calibri"/>
                <w:sz w:val="22"/>
                <w:lang w:val="en-GB"/>
              </w:rPr>
            </w:pPr>
            <w:r w:rsidRPr="00A1133B">
              <w:rPr>
                <w:rFonts w:cs="Calibri"/>
                <w:sz w:val="22"/>
                <w:lang w:val="en-GB"/>
              </w:rPr>
              <w:t>Advised that FLS cannot commit to maintaining forest roads to recreational standards as they are primarily for operational use.</w:t>
            </w:r>
          </w:p>
          <w:p w14:paraId="7453AC4F" w14:textId="77777777" w:rsidR="00B241AE" w:rsidRPr="00A1133B" w:rsidRDefault="00B241AE" w:rsidP="00A1133B">
            <w:pPr>
              <w:pStyle w:val="FLSBody"/>
              <w:rPr>
                <w:rFonts w:cs="Calibri"/>
                <w:sz w:val="22"/>
                <w:lang w:val="en-GB"/>
              </w:rPr>
            </w:pPr>
            <w:r w:rsidRPr="00A1133B">
              <w:rPr>
                <w:rFonts w:cs="Calibri"/>
                <w:sz w:val="22"/>
                <w:lang w:val="en-GB"/>
              </w:rPr>
              <w:t>Advised that no commitment can be made to retaining informal parking areas but provided pathway to FLS communities team to see if there is a way areas could be formalised.</w:t>
            </w:r>
          </w:p>
        </w:tc>
      </w:tr>
      <w:tr w:rsidR="00B241AE" w:rsidRPr="00304569" w14:paraId="087B39A7" w14:textId="77777777" w:rsidTr="00AB0821">
        <w:tc>
          <w:tcPr>
            <w:tcW w:w="783" w:type="pct"/>
          </w:tcPr>
          <w:p w14:paraId="102076D7" w14:textId="77777777" w:rsidR="00B241AE" w:rsidRPr="00A1133B" w:rsidRDefault="00B241AE" w:rsidP="00B226B9">
            <w:pPr>
              <w:pStyle w:val="FLSBody"/>
              <w:rPr>
                <w:rFonts w:cs="Calibri"/>
                <w:sz w:val="22"/>
                <w:lang w:val="en-GB"/>
              </w:rPr>
            </w:pPr>
            <w:r w:rsidRPr="00A1133B">
              <w:rPr>
                <w:rFonts w:cs="Calibri"/>
                <w:sz w:val="22"/>
                <w:lang w:val="en-GB"/>
              </w:rPr>
              <w:t>Access</w:t>
            </w:r>
          </w:p>
        </w:tc>
        <w:tc>
          <w:tcPr>
            <w:tcW w:w="735" w:type="pct"/>
          </w:tcPr>
          <w:p w14:paraId="487BDD96" w14:textId="77777777" w:rsidR="00B241AE" w:rsidRPr="00A1133B" w:rsidRDefault="00B241AE" w:rsidP="00B226B9">
            <w:pPr>
              <w:pStyle w:val="FLSBody"/>
              <w:rPr>
                <w:rFonts w:cs="Calibri"/>
                <w:sz w:val="22"/>
                <w:lang w:val="en-GB"/>
              </w:rPr>
            </w:pPr>
            <w:r w:rsidRPr="00A1133B">
              <w:rPr>
                <w:rFonts w:cs="Calibri"/>
                <w:sz w:val="22"/>
                <w:lang w:val="en-GB"/>
              </w:rPr>
              <w:t>Moravian Orienteering Club</w:t>
            </w:r>
          </w:p>
        </w:tc>
        <w:tc>
          <w:tcPr>
            <w:tcW w:w="1864" w:type="pct"/>
          </w:tcPr>
          <w:p w14:paraId="52F0A845" w14:textId="77777777" w:rsidR="00B241AE" w:rsidRPr="00A1133B" w:rsidRDefault="00B241AE" w:rsidP="00B226B9">
            <w:pPr>
              <w:pStyle w:val="FLSBody"/>
              <w:rPr>
                <w:rFonts w:cs="Calibri"/>
                <w:sz w:val="22"/>
                <w:lang w:val="en-GB"/>
              </w:rPr>
            </w:pPr>
            <w:r w:rsidRPr="00A1133B">
              <w:rPr>
                <w:rFonts w:cs="Calibri"/>
                <w:sz w:val="22"/>
                <w:lang w:val="en-GB"/>
              </w:rPr>
              <w:t>Request for positive commitment to maintain forest as a recreational resource.</w:t>
            </w:r>
          </w:p>
        </w:tc>
        <w:tc>
          <w:tcPr>
            <w:tcW w:w="1618" w:type="pct"/>
          </w:tcPr>
          <w:p w14:paraId="757444AB" w14:textId="77777777" w:rsidR="00B241AE" w:rsidRPr="00A1133B" w:rsidRDefault="00B241AE" w:rsidP="00B226B9">
            <w:pPr>
              <w:pStyle w:val="FLSBody"/>
              <w:rPr>
                <w:rFonts w:cs="Calibri"/>
                <w:sz w:val="22"/>
                <w:lang w:val="en-GB"/>
              </w:rPr>
            </w:pPr>
            <w:r w:rsidRPr="00A1133B">
              <w:rPr>
                <w:rFonts w:cs="Calibri"/>
                <w:sz w:val="22"/>
              </w:rPr>
              <w:t>LMP text outlines FLS’s commitments to preserving rights of access as per the Land Reform (Scotland) Act 2003 and the Scottish Outdoor Access Code</w:t>
            </w:r>
          </w:p>
        </w:tc>
      </w:tr>
      <w:tr w:rsidR="00B241AE" w:rsidRPr="00304569" w14:paraId="61D89A4D" w14:textId="77777777" w:rsidTr="00AB0821">
        <w:tc>
          <w:tcPr>
            <w:tcW w:w="783" w:type="pct"/>
          </w:tcPr>
          <w:p w14:paraId="7A5F73F0" w14:textId="77777777" w:rsidR="00B241AE" w:rsidRPr="00A1133B" w:rsidRDefault="00B241AE" w:rsidP="00B226B9">
            <w:pPr>
              <w:pStyle w:val="FLSBody"/>
              <w:rPr>
                <w:rFonts w:cs="Calibri"/>
                <w:sz w:val="22"/>
                <w:lang w:val="en-GB"/>
              </w:rPr>
            </w:pPr>
            <w:r w:rsidRPr="00A1133B">
              <w:rPr>
                <w:rFonts w:cs="Calibri"/>
                <w:sz w:val="22"/>
                <w:lang w:val="en-GB"/>
              </w:rPr>
              <w:t>Archaeology</w:t>
            </w:r>
          </w:p>
        </w:tc>
        <w:tc>
          <w:tcPr>
            <w:tcW w:w="735" w:type="pct"/>
          </w:tcPr>
          <w:p w14:paraId="3AEFA7D6" w14:textId="77777777" w:rsidR="00B241AE" w:rsidRPr="00A1133B" w:rsidRDefault="00B241AE" w:rsidP="00B226B9">
            <w:pPr>
              <w:pStyle w:val="FLSBody"/>
              <w:rPr>
                <w:rFonts w:cs="Calibri"/>
                <w:sz w:val="22"/>
                <w:lang w:val="en-GB"/>
              </w:rPr>
            </w:pPr>
            <w:r w:rsidRPr="00A1133B">
              <w:rPr>
                <w:rFonts w:cs="Calibri"/>
                <w:sz w:val="22"/>
                <w:lang w:val="en-GB"/>
              </w:rPr>
              <w:t>Council Archaeologist</w:t>
            </w:r>
          </w:p>
        </w:tc>
        <w:tc>
          <w:tcPr>
            <w:tcW w:w="1864" w:type="pct"/>
          </w:tcPr>
          <w:p w14:paraId="17069B14" w14:textId="77777777" w:rsidR="00B241AE" w:rsidRPr="00A1133B" w:rsidRDefault="00B241AE" w:rsidP="00B226B9">
            <w:pPr>
              <w:pStyle w:val="FLSBody"/>
              <w:rPr>
                <w:rFonts w:cs="Calibri"/>
                <w:sz w:val="22"/>
              </w:rPr>
            </w:pPr>
            <w:r w:rsidRPr="00A1133B">
              <w:rPr>
                <w:rFonts w:cs="Calibri"/>
                <w:sz w:val="22"/>
              </w:rPr>
              <w:t xml:space="preserve">Noted </w:t>
            </w:r>
            <w:proofErr w:type="gramStart"/>
            <w:r w:rsidRPr="00A1133B">
              <w:rPr>
                <w:rFonts w:cs="Calibri"/>
                <w:sz w:val="22"/>
              </w:rPr>
              <w:t>some</w:t>
            </w:r>
            <w:proofErr w:type="gramEnd"/>
            <w:r w:rsidRPr="00A1133B">
              <w:rPr>
                <w:rFonts w:cs="Calibri"/>
                <w:sz w:val="22"/>
              </w:rPr>
              <w:t xml:space="preserve"> features recorded in previous surveys not shown in FLS heritage data</w:t>
            </w:r>
          </w:p>
        </w:tc>
        <w:tc>
          <w:tcPr>
            <w:tcW w:w="1618" w:type="pct"/>
          </w:tcPr>
          <w:p w14:paraId="73781C0A" w14:textId="77777777" w:rsidR="00B241AE" w:rsidRPr="00A1133B" w:rsidRDefault="00B241AE" w:rsidP="00B226B9">
            <w:pPr>
              <w:pStyle w:val="FLSBody"/>
              <w:rPr>
                <w:rFonts w:cs="Calibri"/>
                <w:sz w:val="22"/>
                <w:lang w:val="en-GB"/>
              </w:rPr>
            </w:pPr>
            <w:r w:rsidRPr="00A1133B">
              <w:rPr>
                <w:rFonts w:cs="Calibri"/>
                <w:sz w:val="22"/>
              </w:rPr>
              <w:t xml:space="preserve">Text in LMP to explain which features will be displayed on heritage maps at LMP level and </w:t>
            </w:r>
            <w:r w:rsidRPr="00A1133B">
              <w:rPr>
                <w:rFonts w:cs="Calibri"/>
                <w:sz w:val="22"/>
              </w:rPr>
              <w:lastRenderedPageBreak/>
              <w:t>which features will be considered during pre-operational checks.</w:t>
            </w:r>
          </w:p>
        </w:tc>
      </w:tr>
      <w:tr w:rsidR="00B241AE" w:rsidRPr="00304569" w14:paraId="0BBFE163" w14:textId="77777777" w:rsidTr="00AB0821">
        <w:tc>
          <w:tcPr>
            <w:tcW w:w="783" w:type="pct"/>
          </w:tcPr>
          <w:p w14:paraId="4DA460C0" w14:textId="77777777" w:rsidR="00B241AE" w:rsidRPr="00A1133B" w:rsidRDefault="00B241AE" w:rsidP="00B226B9">
            <w:pPr>
              <w:pStyle w:val="FLSBody"/>
              <w:rPr>
                <w:rFonts w:cs="Calibri"/>
                <w:sz w:val="22"/>
                <w:lang w:val="en-GB"/>
              </w:rPr>
            </w:pPr>
            <w:r w:rsidRPr="00A1133B">
              <w:rPr>
                <w:rFonts w:cs="Calibri"/>
                <w:sz w:val="22"/>
                <w:lang w:val="en-GB"/>
              </w:rPr>
              <w:lastRenderedPageBreak/>
              <w:t>Environment</w:t>
            </w:r>
          </w:p>
        </w:tc>
        <w:tc>
          <w:tcPr>
            <w:tcW w:w="735" w:type="pct"/>
          </w:tcPr>
          <w:p w14:paraId="36208B5B" w14:textId="77777777" w:rsidR="00B241AE" w:rsidRPr="00A1133B" w:rsidRDefault="00B241AE" w:rsidP="00B226B9">
            <w:pPr>
              <w:pStyle w:val="FLSBody"/>
              <w:rPr>
                <w:rFonts w:cs="Calibri"/>
                <w:sz w:val="22"/>
                <w:lang w:val="en-GB"/>
              </w:rPr>
            </w:pPr>
            <w:r w:rsidRPr="00A1133B">
              <w:rPr>
                <w:rFonts w:cs="Calibri"/>
                <w:sz w:val="22"/>
                <w:lang w:val="en-GB"/>
              </w:rPr>
              <w:t>NatureScot</w:t>
            </w:r>
          </w:p>
        </w:tc>
        <w:tc>
          <w:tcPr>
            <w:tcW w:w="1864" w:type="pct"/>
          </w:tcPr>
          <w:p w14:paraId="198EE13A" w14:textId="77777777" w:rsidR="00B241AE" w:rsidRPr="00A1133B" w:rsidRDefault="00B241AE" w:rsidP="00B226B9">
            <w:pPr>
              <w:pStyle w:val="FLSBody"/>
              <w:rPr>
                <w:rFonts w:cs="Calibri"/>
                <w:sz w:val="22"/>
                <w:lang w:val="en-GB"/>
              </w:rPr>
            </w:pPr>
            <w:r w:rsidRPr="00A1133B">
              <w:rPr>
                <w:rFonts w:cs="Calibri"/>
                <w:sz w:val="22"/>
                <w:lang w:val="en-GB"/>
              </w:rPr>
              <w:t>Requested impact on Capercaillie habitat be considered.</w:t>
            </w:r>
          </w:p>
        </w:tc>
        <w:tc>
          <w:tcPr>
            <w:tcW w:w="1618" w:type="pct"/>
          </w:tcPr>
          <w:p w14:paraId="19632645" w14:textId="77777777" w:rsidR="00B241AE" w:rsidRPr="00A1133B" w:rsidRDefault="00B241AE" w:rsidP="00B226B9">
            <w:pPr>
              <w:pStyle w:val="FLSBody"/>
              <w:rPr>
                <w:rFonts w:cs="Calibri"/>
                <w:sz w:val="22"/>
                <w:lang w:val="en-GB"/>
              </w:rPr>
            </w:pPr>
            <w:r w:rsidRPr="00A1133B">
              <w:rPr>
                <w:rFonts w:cs="Calibri"/>
                <w:sz w:val="22"/>
              </w:rPr>
              <w:t>Vast majority of Scots pine within the plan area will be managed under LISS systems including group selection and strip shelterwood. Exceptions are where ground conditions mean repeated interventions pose too high a risk of ground damage. RSPB Capercaillie officer included in second round of consultation.</w:t>
            </w:r>
          </w:p>
        </w:tc>
      </w:tr>
      <w:tr w:rsidR="00B241AE" w:rsidRPr="00304569" w14:paraId="799A58B8" w14:textId="77777777" w:rsidTr="00AB0821">
        <w:tc>
          <w:tcPr>
            <w:tcW w:w="783" w:type="pct"/>
          </w:tcPr>
          <w:p w14:paraId="5B364EE8" w14:textId="77777777" w:rsidR="00B241AE" w:rsidRPr="00A1133B" w:rsidRDefault="00B241AE" w:rsidP="00B226B9">
            <w:pPr>
              <w:pStyle w:val="FLSBody"/>
              <w:rPr>
                <w:rFonts w:cs="Calibri"/>
                <w:sz w:val="22"/>
                <w:lang w:val="en-GB"/>
              </w:rPr>
            </w:pPr>
            <w:r w:rsidRPr="00A1133B">
              <w:rPr>
                <w:rFonts w:cs="Calibri"/>
                <w:sz w:val="22"/>
                <w:lang w:val="en-GB"/>
              </w:rPr>
              <w:t>Environment</w:t>
            </w:r>
          </w:p>
        </w:tc>
        <w:tc>
          <w:tcPr>
            <w:tcW w:w="735" w:type="pct"/>
          </w:tcPr>
          <w:p w14:paraId="4D7E001C" w14:textId="77777777" w:rsidR="00B241AE" w:rsidRPr="00A1133B" w:rsidRDefault="00B241AE" w:rsidP="00B226B9">
            <w:pPr>
              <w:pStyle w:val="FLSBody"/>
              <w:rPr>
                <w:rFonts w:cs="Calibri"/>
                <w:sz w:val="22"/>
                <w:lang w:val="en-GB"/>
              </w:rPr>
            </w:pPr>
            <w:r w:rsidRPr="00A1133B">
              <w:rPr>
                <w:rFonts w:cs="Calibri"/>
                <w:sz w:val="22"/>
                <w:lang w:val="en-GB"/>
              </w:rPr>
              <w:t>RSPB</w:t>
            </w:r>
          </w:p>
        </w:tc>
        <w:tc>
          <w:tcPr>
            <w:tcW w:w="1864" w:type="pct"/>
          </w:tcPr>
          <w:p w14:paraId="75D7063D" w14:textId="77777777" w:rsidR="00B241AE" w:rsidRPr="00A1133B" w:rsidRDefault="00B241AE" w:rsidP="00B226B9">
            <w:pPr>
              <w:pStyle w:val="FLSBody"/>
              <w:rPr>
                <w:rFonts w:cs="Calibri"/>
                <w:sz w:val="22"/>
                <w:lang w:val="en-GB"/>
              </w:rPr>
            </w:pPr>
            <w:r w:rsidRPr="00A1133B">
              <w:rPr>
                <w:rFonts w:cs="Calibri"/>
                <w:sz w:val="22"/>
                <w:lang w:val="en-GB"/>
              </w:rPr>
              <w:t>Requested that Capercaillie are considered when designing the LMP, including measures such as retention of mature Scots pine. Requested Capercaillie officer is consulted for further detail</w:t>
            </w:r>
          </w:p>
        </w:tc>
        <w:tc>
          <w:tcPr>
            <w:tcW w:w="1618" w:type="pct"/>
          </w:tcPr>
          <w:p w14:paraId="55174AB8" w14:textId="77777777" w:rsidR="00B241AE" w:rsidRPr="00A1133B" w:rsidRDefault="00B241AE" w:rsidP="00B226B9">
            <w:pPr>
              <w:pStyle w:val="FLSBody"/>
              <w:rPr>
                <w:rFonts w:cs="Calibri"/>
                <w:sz w:val="22"/>
              </w:rPr>
            </w:pPr>
            <w:r w:rsidRPr="00A1133B">
              <w:rPr>
                <w:rFonts w:cs="Calibri"/>
                <w:sz w:val="22"/>
              </w:rPr>
              <w:t>Vast majority of Scots pine within the plan area will be managed under LISS systems including group selection and strip shelterwood. Exceptions are where ground conditions mean repeated interventions pose too high a risk of ground damage. Capercaillie officer included in second round of consultation</w:t>
            </w:r>
            <w:r>
              <w:rPr>
                <w:rFonts w:cs="Calibri"/>
                <w:sz w:val="22"/>
              </w:rPr>
              <w:t>.</w:t>
            </w:r>
          </w:p>
        </w:tc>
      </w:tr>
      <w:tr w:rsidR="00B241AE" w:rsidRPr="00304569" w14:paraId="1A952676" w14:textId="77777777" w:rsidTr="00AB0821">
        <w:tc>
          <w:tcPr>
            <w:tcW w:w="783" w:type="pct"/>
          </w:tcPr>
          <w:p w14:paraId="314A8FEB" w14:textId="77777777" w:rsidR="00B241AE" w:rsidRPr="00A1133B" w:rsidRDefault="00B241AE" w:rsidP="00B226B9">
            <w:pPr>
              <w:pStyle w:val="FLSBody"/>
              <w:rPr>
                <w:rFonts w:cs="Calibri"/>
                <w:sz w:val="22"/>
                <w:lang w:val="en-GB"/>
              </w:rPr>
            </w:pPr>
            <w:r w:rsidRPr="00A1133B">
              <w:rPr>
                <w:rFonts w:cs="Calibri"/>
                <w:sz w:val="22"/>
                <w:lang w:val="en-GB"/>
              </w:rPr>
              <w:t>Haulage</w:t>
            </w:r>
          </w:p>
        </w:tc>
        <w:tc>
          <w:tcPr>
            <w:tcW w:w="735" w:type="pct"/>
          </w:tcPr>
          <w:p w14:paraId="147FF4A1" w14:textId="77777777" w:rsidR="00B241AE" w:rsidRPr="00A1133B" w:rsidRDefault="00B241AE" w:rsidP="00B226B9">
            <w:pPr>
              <w:pStyle w:val="FLSBody"/>
              <w:rPr>
                <w:rFonts w:cs="Calibri"/>
                <w:sz w:val="22"/>
                <w:lang w:val="en-GB"/>
              </w:rPr>
            </w:pPr>
            <w:r w:rsidRPr="00A1133B">
              <w:rPr>
                <w:rFonts w:cs="Calibri"/>
                <w:sz w:val="22"/>
                <w:lang w:val="en-GB"/>
              </w:rPr>
              <w:t>Moray Council</w:t>
            </w:r>
          </w:p>
        </w:tc>
        <w:tc>
          <w:tcPr>
            <w:tcW w:w="1864" w:type="pct"/>
          </w:tcPr>
          <w:p w14:paraId="0BD87831" w14:textId="77777777" w:rsidR="00B241AE" w:rsidRPr="00A1133B" w:rsidRDefault="00B241AE" w:rsidP="00B226B9">
            <w:pPr>
              <w:pStyle w:val="FLSBody"/>
              <w:rPr>
                <w:rFonts w:cs="Calibri"/>
                <w:sz w:val="22"/>
                <w:lang w:val="en-GB"/>
              </w:rPr>
            </w:pPr>
            <w:bookmarkStart w:id="0" w:name="_Hlk208914428"/>
            <w:r w:rsidRPr="00A1133B">
              <w:rPr>
                <w:rFonts w:cs="Calibri"/>
                <w:sz w:val="22"/>
                <w:lang w:val="en-GB"/>
              </w:rPr>
              <w:t>Requested visibility splays should be cleared of shrubs, self-seeded trees, and low branches to provide a 2.5m x 120m visibility splay in both directions to a height of 2.5m.</w:t>
            </w:r>
            <w:bookmarkEnd w:id="0"/>
          </w:p>
        </w:tc>
        <w:tc>
          <w:tcPr>
            <w:tcW w:w="1618" w:type="pct"/>
          </w:tcPr>
          <w:p w14:paraId="0A87B005" w14:textId="77777777" w:rsidR="00B241AE" w:rsidRPr="00A1133B" w:rsidRDefault="00B241AE" w:rsidP="00A1133B">
            <w:pPr>
              <w:pStyle w:val="FLSBody"/>
              <w:rPr>
                <w:rFonts w:cs="Calibri"/>
                <w:sz w:val="22"/>
                <w:lang w:val="en-GB"/>
              </w:rPr>
            </w:pPr>
            <w:r w:rsidRPr="00A1133B">
              <w:rPr>
                <w:rFonts w:cs="Calibri"/>
                <w:sz w:val="22"/>
                <w:lang w:val="en-GB"/>
              </w:rPr>
              <w:t xml:space="preserve">Need for visibility splays to be at required standard prior to haulage commencement added to </w:t>
            </w:r>
            <w:r w:rsidRPr="001C7DF1">
              <w:rPr>
                <w:rFonts w:cs="Calibri"/>
                <w:sz w:val="22"/>
                <w:lang w:val="en-GB"/>
              </w:rPr>
              <w:t>LMP text.</w:t>
            </w:r>
          </w:p>
          <w:p w14:paraId="1278567C" w14:textId="77777777" w:rsidR="00B241AE" w:rsidRPr="00A1133B" w:rsidRDefault="00B241AE" w:rsidP="00A1133B">
            <w:pPr>
              <w:pStyle w:val="FLSBody"/>
              <w:rPr>
                <w:rFonts w:cs="Calibri"/>
                <w:sz w:val="22"/>
                <w:lang w:val="en-GB"/>
              </w:rPr>
            </w:pPr>
          </w:p>
          <w:p w14:paraId="2D9A7C09" w14:textId="77777777" w:rsidR="00B241AE" w:rsidRPr="00A1133B" w:rsidRDefault="00B241AE" w:rsidP="00A1133B">
            <w:pPr>
              <w:pStyle w:val="FLSBody"/>
              <w:rPr>
                <w:rFonts w:cs="Calibri"/>
                <w:sz w:val="22"/>
                <w:lang w:val="en-GB"/>
              </w:rPr>
            </w:pPr>
            <w:r w:rsidRPr="00A1133B">
              <w:rPr>
                <w:rFonts w:cs="Calibri"/>
                <w:sz w:val="22"/>
                <w:lang w:val="en-GB"/>
              </w:rPr>
              <w:t xml:space="preserve">Responsibilities for maintenance of roads and notification prior to haulage activities starting added to </w:t>
            </w:r>
            <w:r w:rsidRPr="001C7DF1">
              <w:rPr>
                <w:rFonts w:cs="Calibri"/>
                <w:sz w:val="22"/>
                <w:lang w:val="en-GB"/>
              </w:rPr>
              <w:t>LMP text.</w:t>
            </w:r>
          </w:p>
        </w:tc>
      </w:tr>
      <w:tr w:rsidR="00B241AE" w:rsidRPr="00304569" w14:paraId="097BF5B6" w14:textId="77777777" w:rsidTr="00AB0821">
        <w:trPr>
          <w:trHeight w:val="82"/>
        </w:trPr>
        <w:tc>
          <w:tcPr>
            <w:tcW w:w="783" w:type="pct"/>
          </w:tcPr>
          <w:p w14:paraId="66F13164" w14:textId="77777777" w:rsidR="00B241AE" w:rsidRPr="00A1133B" w:rsidRDefault="00B241AE" w:rsidP="00B226B9">
            <w:pPr>
              <w:pStyle w:val="FLSBody"/>
              <w:rPr>
                <w:rFonts w:cs="Calibri"/>
                <w:sz w:val="22"/>
                <w:lang w:val="en-GB"/>
              </w:rPr>
            </w:pPr>
            <w:r>
              <w:rPr>
                <w:rFonts w:cs="Calibri"/>
                <w:sz w:val="22"/>
                <w:lang w:val="en-GB"/>
              </w:rPr>
              <w:t>Private Water Supplies (PWS)</w:t>
            </w:r>
          </w:p>
        </w:tc>
        <w:tc>
          <w:tcPr>
            <w:tcW w:w="735" w:type="pct"/>
          </w:tcPr>
          <w:p w14:paraId="4E00AFD4" w14:textId="77777777" w:rsidR="00B241AE" w:rsidRPr="00A1133B" w:rsidRDefault="00B241AE" w:rsidP="00B226B9">
            <w:pPr>
              <w:pStyle w:val="FLSBody"/>
              <w:rPr>
                <w:rFonts w:cs="Calibri"/>
                <w:sz w:val="22"/>
                <w:lang w:val="en-GB"/>
              </w:rPr>
            </w:pPr>
            <w:r>
              <w:rPr>
                <w:rFonts w:cs="Calibri"/>
                <w:sz w:val="22"/>
                <w:lang w:val="en-GB"/>
              </w:rPr>
              <w:t>Adjacent landowners</w:t>
            </w:r>
          </w:p>
        </w:tc>
        <w:tc>
          <w:tcPr>
            <w:tcW w:w="1864" w:type="pct"/>
          </w:tcPr>
          <w:p w14:paraId="0B664471" w14:textId="77777777" w:rsidR="00B241AE" w:rsidRPr="00A1133B" w:rsidRDefault="00B241AE" w:rsidP="00B226B9">
            <w:pPr>
              <w:rPr>
                <w:rFonts w:cs="Calibri"/>
              </w:rPr>
            </w:pPr>
            <w:r>
              <w:rPr>
                <w:rFonts w:cs="Calibri"/>
              </w:rPr>
              <w:t>Two adjacent landowners responded to consultation to provide location of Private Water Supply infrastructure within forest boundaries.</w:t>
            </w:r>
          </w:p>
        </w:tc>
        <w:tc>
          <w:tcPr>
            <w:tcW w:w="1618" w:type="pct"/>
          </w:tcPr>
          <w:p w14:paraId="6D5C5028" w14:textId="77777777" w:rsidR="00B241AE" w:rsidRPr="00A1133B" w:rsidRDefault="00B241AE" w:rsidP="00B226B9">
            <w:pPr>
              <w:pStyle w:val="FLSBody"/>
              <w:rPr>
                <w:rFonts w:cs="Calibri"/>
                <w:sz w:val="22"/>
                <w:lang w:val="en-GB"/>
              </w:rPr>
            </w:pPr>
            <w:r>
              <w:rPr>
                <w:rFonts w:cs="Calibri"/>
                <w:sz w:val="22"/>
                <w:lang w:val="en-GB"/>
              </w:rPr>
              <w:t>PWS located on ground, GPS marked and added to FLS constraints layers. Catchments created and added to map for internal use.</w:t>
            </w:r>
          </w:p>
        </w:tc>
      </w:tr>
      <w:tr w:rsidR="00B241AE" w:rsidRPr="00304569" w14:paraId="110535AC" w14:textId="77777777" w:rsidTr="00AB0821">
        <w:trPr>
          <w:trHeight w:val="82"/>
        </w:trPr>
        <w:tc>
          <w:tcPr>
            <w:tcW w:w="783" w:type="pct"/>
          </w:tcPr>
          <w:p w14:paraId="738DFF3C" w14:textId="77777777" w:rsidR="00B241AE" w:rsidRPr="00A1133B" w:rsidRDefault="00B241AE" w:rsidP="00B226B9">
            <w:pPr>
              <w:pStyle w:val="FLSBody"/>
              <w:rPr>
                <w:rFonts w:cs="Calibri"/>
                <w:sz w:val="22"/>
                <w:lang w:val="en-GB"/>
              </w:rPr>
            </w:pPr>
            <w:r>
              <w:rPr>
                <w:rFonts w:cs="Calibri"/>
                <w:sz w:val="22"/>
                <w:lang w:val="en-GB"/>
              </w:rPr>
              <w:lastRenderedPageBreak/>
              <w:t>Private Water Supplies (PWS)</w:t>
            </w:r>
          </w:p>
        </w:tc>
        <w:tc>
          <w:tcPr>
            <w:tcW w:w="735" w:type="pct"/>
          </w:tcPr>
          <w:p w14:paraId="2985A2E0" w14:textId="77777777" w:rsidR="00B241AE" w:rsidRPr="00A1133B" w:rsidRDefault="00B241AE" w:rsidP="00B226B9">
            <w:pPr>
              <w:pStyle w:val="FLSBody"/>
              <w:rPr>
                <w:rFonts w:cs="Calibri"/>
                <w:sz w:val="22"/>
                <w:lang w:val="en-GB"/>
              </w:rPr>
            </w:pPr>
            <w:r>
              <w:rPr>
                <w:rFonts w:cs="Calibri"/>
                <w:sz w:val="22"/>
                <w:lang w:val="en-GB"/>
              </w:rPr>
              <w:t>Moray Council</w:t>
            </w:r>
          </w:p>
        </w:tc>
        <w:tc>
          <w:tcPr>
            <w:tcW w:w="1864" w:type="pct"/>
          </w:tcPr>
          <w:p w14:paraId="06C62B71" w14:textId="77777777" w:rsidR="00B241AE" w:rsidRPr="00A1133B" w:rsidRDefault="00B241AE" w:rsidP="00B226B9">
            <w:pPr>
              <w:pStyle w:val="FLSBody"/>
              <w:rPr>
                <w:rFonts w:cs="Calibri"/>
                <w:sz w:val="22"/>
                <w:lang w:val="en-GB"/>
              </w:rPr>
            </w:pPr>
            <w:r>
              <w:rPr>
                <w:rFonts w:cs="Calibri"/>
                <w:sz w:val="22"/>
                <w:lang w:val="en-GB"/>
              </w:rPr>
              <w:t>Map provided by Moray Council showing all known PWS users and associated supply points.</w:t>
            </w:r>
          </w:p>
        </w:tc>
        <w:tc>
          <w:tcPr>
            <w:tcW w:w="1618" w:type="pct"/>
          </w:tcPr>
          <w:p w14:paraId="7B7D4D23" w14:textId="77777777" w:rsidR="00B241AE" w:rsidRPr="00A1133B" w:rsidRDefault="00B241AE" w:rsidP="00B226B9">
            <w:pPr>
              <w:pStyle w:val="FLSBody"/>
              <w:rPr>
                <w:rFonts w:cs="Calibri"/>
                <w:sz w:val="22"/>
                <w:lang w:val="en-GB"/>
              </w:rPr>
            </w:pPr>
            <w:r>
              <w:rPr>
                <w:rFonts w:cs="Calibri"/>
                <w:sz w:val="22"/>
                <w:lang w:val="en-GB"/>
              </w:rPr>
              <w:t>All data added to FLS constraints layers and used to design suitable buffers for future operations.</w:t>
            </w:r>
          </w:p>
        </w:tc>
      </w:tr>
      <w:tr w:rsidR="00B241AE" w:rsidRPr="00304569" w14:paraId="6B4E0448" w14:textId="77777777" w:rsidTr="00AB0821">
        <w:trPr>
          <w:trHeight w:val="82"/>
        </w:trPr>
        <w:tc>
          <w:tcPr>
            <w:tcW w:w="783" w:type="pct"/>
          </w:tcPr>
          <w:p w14:paraId="6FD846C6" w14:textId="1499F822" w:rsidR="00B241AE" w:rsidRDefault="00B241AE" w:rsidP="00B241AE">
            <w:pPr>
              <w:pStyle w:val="FLSBody"/>
              <w:rPr>
                <w:rFonts w:cs="Calibri"/>
                <w:sz w:val="22"/>
                <w:lang w:val="en-GB"/>
              </w:rPr>
            </w:pPr>
            <w:r w:rsidRPr="00A1133B">
              <w:rPr>
                <w:rFonts w:cs="Calibri"/>
                <w:sz w:val="22"/>
                <w:lang w:val="en-GB"/>
              </w:rPr>
              <w:t>Water</w:t>
            </w:r>
          </w:p>
        </w:tc>
        <w:tc>
          <w:tcPr>
            <w:tcW w:w="735" w:type="pct"/>
          </w:tcPr>
          <w:p w14:paraId="572012CA" w14:textId="71D0F49C" w:rsidR="00B241AE" w:rsidRDefault="00B241AE" w:rsidP="00B241AE">
            <w:pPr>
              <w:pStyle w:val="FLSBody"/>
              <w:rPr>
                <w:rFonts w:cs="Calibri"/>
                <w:sz w:val="22"/>
                <w:lang w:val="en-GB"/>
              </w:rPr>
            </w:pPr>
            <w:r w:rsidRPr="00A1133B">
              <w:rPr>
                <w:rFonts w:cs="Calibri"/>
                <w:sz w:val="22"/>
                <w:lang w:val="en-GB"/>
              </w:rPr>
              <w:t>SEPA</w:t>
            </w:r>
          </w:p>
        </w:tc>
        <w:tc>
          <w:tcPr>
            <w:tcW w:w="1864" w:type="pct"/>
          </w:tcPr>
          <w:p w14:paraId="047DA8C7" w14:textId="784507B8" w:rsidR="00B241AE" w:rsidRDefault="00B241AE" w:rsidP="00B241AE">
            <w:pPr>
              <w:pStyle w:val="FLSBody"/>
              <w:rPr>
                <w:rFonts w:cs="Calibri"/>
                <w:sz w:val="22"/>
                <w:lang w:val="en-GB"/>
              </w:rPr>
            </w:pPr>
            <w:r w:rsidRPr="00A1133B">
              <w:rPr>
                <w:rFonts w:cs="Calibri"/>
                <w:sz w:val="22"/>
                <w:lang w:val="en-GB"/>
              </w:rPr>
              <w:t xml:space="preserve">No recommendations outside of following standard forestry and water guidelines. </w:t>
            </w:r>
          </w:p>
        </w:tc>
        <w:tc>
          <w:tcPr>
            <w:tcW w:w="1618" w:type="pct"/>
          </w:tcPr>
          <w:p w14:paraId="63C08227" w14:textId="0B461236" w:rsidR="00B241AE" w:rsidRDefault="00B241AE" w:rsidP="00B241AE">
            <w:pPr>
              <w:pStyle w:val="FLSBody"/>
              <w:rPr>
                <w:rFonts w:cs="Calibri"/>
                <w:sz w:val="22"/>
                <w:lang w:val="en-GB"/>
              </w:rPr>
            </w:pPr>
            <w:r w:rsidRPr="00A1133B">
              <w:rPr>
                <w:rFonts w:cs="Calibri"/>
                <w:sz w:val="22"/>
                <w:lang w:val="en-GB"/>
              </w:rPr>
              <w:t>Forestry and Water guidance referenced as minimum standard in LMP text.</w:t>
            </w:r>
          </w:p>
        </w:tc>
      </w:tr>
      <w:tr w:rsidR="00B241AE" w:rsidRPr="00304569" w14:paraId="566995C3" w14:textId="77777777" w:rsidTr="00AB0821">
        <w:tc>
          <w:tcPr>
            <w:tcW w:w="3382" w:type="pct"/>
            <w:gridSpan w:val="3"/>
          </w:tcPr>
          <w:p w14:paraId="0FE8C800" w14:textId="77777777" w:rsidR="00B241AE" w:rsidRPr="00A1133B" w:rsidRDefault="00B241AE" w:rsidP="00B241AE">
            <w:pPr>
              <w:pStyle w:val="FLSBody"/>
              <w:rPr>
                <w:rFonts w:cs="Calibri"/>
                <w:sz w:val="22"/>
                <w:lang w:val="en-GB"/>
              </w:rPr>
            </w:pPr>
            <w:r w:rsidRPr="00A1133B">
              <w:rPr>
                <w:rFonts w:cs="Calibri"/>
                <w:sz w:val="22"/>
                <w:lang w:val="en-GB"/>
              </w:rPr>
              <w:t xml:space="preserve">The following stakeholders responded with no comment or no issues: </w:t>
            </w:r>
            <w:r>
              <w:rPr>
                <w:rFonts w:cs="Calibri"/>
                <w:sz w:val="22"/>
                <w:lang w:val="en-GB"/>
              </w:rPr>
              <w:t>Scottish Water</w:t>
            </w:r>
          </w:p>
          <w:p w14:paraId="704D6A89" w14:textId="77777777" w:rsidR="00B241AE" w:rsidRPr="00A1133B" w:rsidRDefault="00B241AE" w:rsidP="00B241AE">
            <w:pPr>
              <w:pStyle w:val="FLSBody"/>
              <w:rPr>
                <w:rFonts w:cs="Calibri"/>
                <w:sz w:val="22"/>
                <w:lang w:val="en-GB"/>
              </w:rPr>
            </w:pPr>
          </w:p>
        </w:tc>
        <w:tc>
          <w:tcPr>
            <w:tcW w:w="1618" w:type="pct"/>
          </w:tcPr>
          <w:p w14:paraId="64FCEEFF" w14:textId="77777777" w:rsidR="00B241AE" w:rsidRPr="00A1133B" w:rsidRDefault="00B241AE" w:rsidP="00B241AE">
            <w:pPr>
              <w:pStyle w:val="FLSBody"/>
              <w:rPr>
                <w:rFonts w:cs="Calibri"/>
                <w:color w:val="FF0000"/>
                <w:sz w:val="22"/>
                <w:lang w:val="en-GB"/>
              </w:rPr>
            </w:pPr>
          </w:p>
        </w:tc>
      </w:tr>
      <w:tr w:rsidR="00B241AE" w:rsidRPr="00304569" w14:paraId="26AA1559" w14:textId="77777777" w:rsidTr="00AB0821">
        <w:tc>
          <w:tcPr>
            <w:tcW w:w="3382" w:type="pct"/>
            <w:gridSpan w:val="3"/>
          </w:tcPr>
          <w:p w14:paraId="2BA32D9C" w14:textId="77777777" w:rsidR="00B241AE" w:rsidRPr="00A1133B" w:rsidRDefault="00B241AE" w:rsidP="00B241AE">
            <w:pPr>
              <w:pStyle w:val="FLSBody"/>
              <w:rPr>
                <w:rFonts w:cs="Calibri"/>
                <w:sz w:val="22"/>
                <w:lang w:val="en-GB"/>
              </w:rPr>
            </w:pPr>
            <w:r w:rsidRPr="00A1133B">
              <w:rPr>
                <w:rFonts w:cs="Calibri"/>
                <w:sz w:val="22"/>
                <w:lang w:val="en-GB"/>
              </w:rPr>
              <w:t xml:space="preserve">The following stakeholders were contacted during scoping but did not respond: CONFOR, </w:t>
            </w:r>
            <w:r>
              <w:rPr>
                <w:rFonts w:cs="Calibri"/>
                <w:sz w:val="22"/>
                <w:lang w:val="en-GB"/>
              </w:rPr>
              <w:t>Forres Community Council</w:t>
            </w:r>
            <w:r w:rsidRPr="00A1133B">
              <w:rPr>
                <w:rFonts w:cs="Calibri"/>
                <w:sz w:val="22"/>
                <w:lang w:val="en-GB"/>
              </w:rPr>
              <w:t>,</w:t>
            </w:r>
            <w:r>
              <w:rPr>
                <w:rFonts w:cs="Calibri"/>
                <w:sz w:val="22"/>
                <w:lang w:val="en-GB"/>
              </w:rPr>
              <w:t xml:space="preserve"> Altyre Estate, Darnaway Estate, Logie Estate, Knockando and Carron Estate, Moray Equestrian Access Group, Outfit Moray,</w:t>
            </w:r>
            <w:r w:rsidRPr="00A1133B">
              <w:rPr>
                <w:rFonts w:cs="Calibri"/>
                <w:sz w:val="22"/>
                <w:lang w:val="en-GB"/>
              </w:rPr>
              <w:t xml:space="preserve"> all immediately adjacent residents.</w:t>
            </w:r>
          </w:p>
        </w:tc>
        <w:tc>
          <w:tcPr>
            <w:tcW w:w="1618" w:type="pct"/>
          </w:tcPr>
          <w:p w14:paraId="2E19965C" w14:textId="77777777" w:rsidR="00B241AE" w:rsidRPr="00A1133B" w:rsidRDefault="00B241AE" w:rsidP="00B241AE">
            <w:pPr>
              <w:pStyle w:val="FLSBody"/>
              <w:rPr>
                <w:rFonts w:cs="Calibri"/>
                <w:color w:val="FF0000"/>
                <w:sz w:val="22"/>
                <w:lang w:val="en-GB"/>
              </w:rPr>
            </w:pPr>
          </w:p>
        </w:tc>
      </w:tr>
    </w:tbl>
    <w:p w14:paraId="0461615E" w14:textId="77777777" w:rsidR="00027C27" w:rsidRPr="009B7615" w:rsidRDefault="00027C27" w:rsidP="00B561C0"/>
    <w:sectPr w:rsidR="00027C27" w:rsidRPr="009B7615" w:rsidSect="00AB0821">
      <w:pgSz w:w="16838" w:h="11906" w:orient="landscape"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865867077">
    <w:abstractNumId w:val="1"/>
  </w:num>
  <w:num w:numId="2" w16cid:durableId="1448542837">
    <w:abstractNumId w:val="0"/>
  </w:num>
  <w:num w:numId="3" w16cid:durableId="2108697244">
    <w:abstractNumId w:val="0"/>
  </w:num>
  <w:num w:numId="4" w16cid:durableId="1377394288">
    <w:abstractNumId w:val="0"/>
  </w:num>
  <w:num w:numId="5" w16cid:durableId="1348291904">
    <w:abstractNumId w:val="1"/>
  </w:num>
  <w:num w:numId="6" w16cid:durableId="102047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21"/>
    <w:rsid w:val="00027C27"/>
    <w:rsid w:val="000532B6"/>
    <w:rsid w:val="000C0CF4"/>
    <w:rsid w:val="00136024"/>
    <w:rsid w:val="001C7DF1"/>
    <w:rsid w:val="001E7BA2"/>
    <w:rsid w:val="00281579"/>
    <w:rsid w:val="002D0568"/>
    <w:rsid w:val="002E191A"/>
    <w:rsid w:val="002E6F48"/>
    <w:rsid w:val="002F0443"/>
    <w:rsid w:val="00306C61"/>
    <w:rsid w:val="0037582B"/>
    <w:rsid w:val="003C45F3"/>
    <w:rsid w:val="00582A4F"/>
    <w:rsid w:val="00634B92"/>
    <w:rsid w:val="006920D6"/>
    <w:rsid w:val="00857548"/>
    <w:rsid w:val="00941721"/>
    <w:rsid w:val="009B7615"/>
    <w:rsid w:val="00A1133B"/>
    <w:rsid w:val="00A51504"/>
    <w:rsid w:val="00AB0821"/>
    <w:rsid w:val="00B241AE"/>
    <w:rsid w:val="00B51BDC"/>
    <w:rsid w:val="00B561C0"/>
    <w:rsid w:val="00B773CE"/>
    <w:rsid w:val="00C91823"/>
    <w:rsid w:val="00D008AB"/>
    <w:rsid w:val="00DB1AD7"/>
    <w:rsid w:val="00E80BB3"/>
    <w:rsid w:val="00ED232B"/>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DE29"/>
  <w15:chartTrackingRefBased/>
  <w15:docId w15:val="{A0160E24-2658-4655-9CD4-8E596283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21"/>
    <w:pPr>
      <w:spacing w:after="200" w:line="276" w:lineRule="auto"/>
    </w:pPr>
    <w:rPr>
      <w:rFonts w:ascii="Calibri" w:hAnsi="Calibri" w:cs="Times New Roman"/>
      <w:kern w:val="0"/>
      <w:lang w:val="en-US"/>
      <w14:ligatures w14:val="none"/>
    </w:rPr>
  </w:style>
  <w:style w:type="paragraph" w:styleId="Heading1">
    <w:name w:val="heading 1"/>
    <w:aliases w:val="Outline1"/>
    <w:basedOn w:val="Normal"/>
    <w:next w:val="Normal"/>
    <w:link w:val="Heading1Char"/>
    <w:qFormat/>
    <w:rsid w:val="00C91823"/>
    <w:pPr>
      <w:numPr>
        <w:numId w:val="6"/>
      </w:numPr>
      <w:spacing w:after="0" w:line="240" w:lineRule="auto"/>
      <w:outlineLvl w:val="0"/>
    </w:pPr>
    <w:rPr>
      <w:rFonts w:ascii="Arial" w:hAnsi="Arial"/>
      <w:kern w:val="24"/>
      <w:sz w:val="24"/>
      <w:szCs w:val="20"/>
      <w:lang w:val="en-GB"/>
      <w14:ligatures w14:val="standardContextual"/>
    </w:rPr>
  </w:style>
  <w:style w:type="paragraph" w:styleId="Heading2">
    <w:name w:val="heading 2"/>
    <w:aliases w:val="Outline2"/>
    <w:basedOn w:val="Normal"/>
    <w:next w:val="Normal"/>
    <w:link w:val="Heading2Char"/>
    <w:qFormat/>
    <w:rsid w:val="00C91823"/>
    <w:pPr>
      <w:numPr>
        <w:ilvl w:val="1"/>
        <w:numId w:val="6"/>
      </w:numPr>
      <w:spacing w:after="0" w:line="240" w:lineRule="auto"/>
      <w:outlineLvl w:val="1"/>
    </w:pPr>
    <w:rPr>
      <w:rFonts w:ascii="Arial" w:hAnsi="Arial"/>
      <w:kern w:val="24"/>
      <w:sz w:val="24"/>
      <w:szCs w:val="20"/>
      <w:lang w:val="en-GB"/>
      <w14:ligatures w14:val="standardContextual"/>
    </w:rPr>
  </w:style>
  <w:style w:type="paragraph" w:styleId="Heading3">
    <w:name w:val="heading 3"/>
    <w:aliases w:val="Outline3"/>
    <w:basedOn w:val="Normal"/>
    <w:next w:val="Normal"/>
    <w:link w:val="Heading3Char"/>
    <w:qFormat/>
    <w:rsid w:val="00B773CE"/>
    <w:pPr>
      <w:numPr>
        <w:ilvl w:val="2"/>
        <w:numId w:val="6"/>
      </w:numPr>
      <w:spacing w:after="0" w:line="240" w:lineRule="auto"/>
      <w:outlineLvl w:val="2"/>
    </w:pPr>
    <w:rPr>
      <w:rFonts w:ascii="Arial" w:hAnsi="Arial"/>
      <w:kern w:val="24"/>
      <w:sz w:val="24"/>
      <w:szCs w:val="20"/>
      <w:lang w:val="en-GB"/>
      <w14:ligatures w14:val="standardContextual"/>
    </w:rPr>
  </w:style>
  <w:style w:type="paragraph" w:styleId="Heading4">
    <w:name w:val="heading 4"/>
    <w:basedOn w:val="Normal"/>
    <w:next w:val="Normal"/>
    <w:link w:val="Heading4Char"/>
    <w:uiPriority w:val="9"/>
    <w:semiHidden/>
    <w:qFormat/>
    <w:rsid w:val="00AB0821"/>
    <w:pPr>
      <w:keepNext/>
      <w:keepLines/>
      <w:spacing w:before="80" w:after="40" w:line="240" w:lineRule="auto"/>
      <w:outlineLvl w:val="3"/>
    </w:pPr>
    <w:rPr>
      <w:rFonts w:asciiTheme="minorHAnsi" w:eastAsiaTheme="majorEastAsia" w:hAnsiTheme="minorHAnsi" w:cstheme="majorBidi"/>
      <w:i/>
      <w:iCs/>
      <w:color w:val="2E74B5" w:themeColor="accent1" w:themeShade="BF"/>
      <w:kern w:val="2"/>
      <w:sz w:val="24"/>
      <w:szCs w:val="20"/>
      <w:lang w:val="en-GB"/>
      <w14:ligatures w14:val="standardContextual"/>
    </w:rPr>
  </w:style>
  <w:style w:type="paragraph" w:styleId="Heading5">
    <w:name w:val="heading 5"/>
    <w:basedOn w:val="Normal"/>
    <w:next w:val="Normal"/>
    <w:link w:val="Heading5Char"/>
    <w:uiPriority w:val="9"/>
    <w:semiHidden/>
    <w:unhideWhenUsed/>
    <w:qFormat/>
    <w:rsid w:val="00AB0821"/>
    <w:pPr>
      <w:keepNext/>
      <w:keepLines/>
      <w:spacing w:before="80" w:after="40" w:line="240" w:lineRule="auto"/>
      <w:outlineLvl w:val="4"/>
    </w:pPr>
    <w:rPr>
      <w:rFonts w:asciiTheme="minorHAnsi" w:eastAsiaTheme="majorEastAsia" w:hAnsiTheme="minorHAnsi" w:cstheme="majorBidi"/>
      <w:color w:val="2E74B5" w:themeColor="accent1" w:themeShade="BF"/>
      <w:kern w:val="2"/>
      <w:sz w:val="24"/>
      <w:szCs w:val="20"/>
      <w:lang w:val="en-GB"/>
      <w14:ligatures w14:val="standardContextual"/>
    </w:rPr>
  </w:style>
  <w:style w:type="paragraph" w:styleId="Heading6">
    <w:name w:val="heading 6"/>
    <w:basedOn w:val="Normal"/>
    <w:next w:val="Normal"/>
    <w:link w:val="Heading6Char"/>
    <w:uiPriority w:val="9"/>
    <w:semiHidden/>
    <w:unhideWhenUsed/>
    <w:qFormat/>
    <w:rsid w:val="00AB0821"/>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0"/>
      <w:lang w:val="en-GB"/>
      <w14:ligatures w14:val="standardContextual"/>
    </w:rPr>
  </w:style>
  <w:style w:type="paragraph" w:styleId="Heading7">
    <w:name w:val="heading 7"/>
    <w:basedOn w:val="Normal"/>
    <w:next w:val="Normal"/>
    <w:link w:val="Heading7Char"/>
    <w:uiPriority w:val="9"/>
    <w:semiHidden/>
    <w:unhideWhenUsed/>
    <w:qFormat/>
    <w:rsid w:val="00AB0821"/>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0"/>
      <w:lang w:val="en-GB"/>
      <w14:ligatures w14:val="standardContextual"/>
    </w:rPr>
  </w:style>
  <w:style w:type="paragraph" w:styleId="Heading8">
    <w:name w:val="heading 8"/>
    <w:basedOn w:val="Normal"/>
    <w:next w:val="Normal"/>
    <w:link w:val="Heading8Char"/>
    <w:uiPriority w:val="9"/>
    <w:semiHidden/>
    <w:unhideWhenUsed/>
    <w:qFormat/>
    <w:rsid w:val="00AB0821"/>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0"/>
      <w:lang w:val="en-GB"/>
      <w14:ligatures w14:val="standardContextual"/>
    </w:rPr>
  </w:style>
  <w:style w:type="paragraph" w:styleId="Heading9">
    <w:name w:val="heading 9"/>
    <w:basedOn w:val="Normal"/>
    <w:next w:val="Normal"/>
    <w:link w:val="Heading9Char"/>
    <w:uiPriority w:val="9"/>
    <w:semiHidden/>
    <w:unhideWhenUsed/>
    <w:qFormat/>
    <w:rsid w:val="00AB0821"/>
    <w:pPr>
      <w:keepNext/>
      <w:keepLines/>
      <w:spacing w:after="0" w:line="240" w:lineRule="auto"/>
      <w:outlineLvl w:val="8"/>
    </w:pPr>
    <w:rPr>
      <w:rFonts w:asciiTheme="minorHAnsi" w:eastAsiaTheme="majorEastAsia" w:hAnsiTheme="minorHAnsi" w:cstheme="majorBidi"/>
      <w:color w:val="272727" w:themeColor="text1" w:themeTint="D8"/>
      <w:kern w:val="2"/>
      <w:sz w:val="24"/>
      <w:szCs w:val="2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after="0" w:line="240" w:lineRule="auto"/>
    </w:pPr>
    <w:rPr>
      <w:rFonts w:ascii="Arial" w:hAnsi="Arial"/>
      <w:kern w:val="2"/>
      <w:sz w:val="24"/>
      <w:szCs w:val="20"/>
      <w:lang w:val="en-GB"/>
      <w14:ligatures w14:val="standardContextual"/>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after="0" w:line="240" w:lineRule="auto"/>
    </w:pPr>
    <w:rPr>
      <w:rFonts w:ascii="Arial" w:hAnsi="Arial"/>
      <w:kern w:val="2"/>
      <w:sz w:val="24"/>
      <w:szCs w:val="20"/>
      <w:lang w:val="en-GB"/>
      <w14:ligatures w14:val="standardContextual"/>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AB0821"/>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B0821"/>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B0821"/>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AB0821"/>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AB0821"/>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AB0821"/>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AB0821"/>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B0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821"/>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B0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821"/>
    <w:pPr>
      <w:spacing w:before="160" w:after="160" w:line="240" w:lineRule="auto"/>
      <w:jc w:val="center"/>
    </w:pPr>
    <w:rPr>
      <w:rFonts w:ascii="Arial" w:hAnsi="Arial"/>
      <w:i/>
      <w:iCs/>
      <w:color w:val="404040" w:themeColor="text1" w:themeTint="BF"/>
      <w:kern w:val="2"/>
      <w:sz w:val="24"/>
      <w:szCs w:val="20"/>
      <w:lang w:val="en-GB"/>
      <w14:ligatures w14:val="standardContextual"/>
    </w:rPr>
  </w:style>
  <w:style w:type="character" w:customStyle="1" w:styleId="QuoteChar">
    <w:name w:val="Quote Char"/>
    <w:basedOn w:val="DefaultParagraphFont"/>
    <w:link w:val="Quote"/>
    <w:uiPriority w:val="29"/>
    <w:rsid w:val="00AB0821"/>
    <w:rPr>
      <w:rFonts w:ascii="Arial" w:hAnsi="Arial" w:cs="Times New Roman"/>
      <w:i/>
      <w:iCs/>
      <w:color w:val="404040" w:themeColor="text1" w:themeTint="BF"/>
      <w:sz w:val="24"/>
      <w:szCs w:val="20"/>
    </w:rPr>
  </w:style>
  <w:style w:type="paragraph" w:styleId="ListParagraph">
    <w:name w:val="List Paragraph"/>
    <w:basedOn w:val="Normal"/>
    <w:uiPriority w:val="34"/>
    <w:qFormat/>
    <w:rsid w:val="00AB0821"/>
    <w:pPr>
      <w:spacing w:after="0" w:line="240" w:lineRule="auto"/>
      <w:ind w:left="720"/>
      <w:contextualSpacing/>
    </w:pPr>
    <w:rPr>
      <w:rFonts w:ascii="Arial" w:hAnsi="Arial"/>
      <w:kern w:val="2"/>
      <w:sz w:val="24"/>
      <w:szCs w:val="20"/>
      <w:lang w:val="en-GB"/>
      <w14:ligatures w14:val="standardContextual"/>
    </w:rPr>
  </w:style>
  <w:style w:type="character" w:styleId="IntenseEmphasis">
    <w:name w:val="Intense Emphasis"/>
    <w:basedOn w:val="DefaultParagraphFont"/>
    <w:uiPriority w:val="21"/>
    <w:qFormat/>
    <w:rsid w:val="00AB0821"/>
    <w:rPr>
      <w:i/>
      <w:iCs/>
      <w:color w:val="2E74B5" w:themeColor="accent1" w:themeShade="BF"/>
    </w:rPr>
  </w:style>
  <w:style w:type="paragraph" w:styleId="IntenseQuote">
    <w:name w:val="Intense Quote"/>
    <w:basedOn w:val="Normal"/>
    <w:next w:val="Normal"/>
    <w:link w:val="IntenseQuoteChar"/>
    <w:uiPriority w:val="30"/>
    <w:qFormat/>
    <w:rsid w:val="00AB0821"/>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Arial" w:hAnsi="Arial"/>
      <w:i/>
      <w:iCs/>
      <w:color w:val="2E74B5" w:themeColor="accent1" w:themeShade="BF"/>
      <w:kern w:val="2"/>
      <w:sz w:val="24"/>
      <w:szCs w:val="20"/>
      <w:lang w:val="en-GB"/>
      <w14:ligatures w14:val="standardContextual"/>
    </w:rPr>
  </w:style>
  <w:style w:type="character" w:customStyle="1" w:styleId="IntenseQuoteChar">
    <w:name w:val="Intense Quote Char"/>
    <w:basedOn w:val="DefaultParagraphFont"/>
    <w:link w:val="IntenseQuote"/>
    <w:uiPriority w:val="30"/>
    <w:rsid w:val="00AB0821"/>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AB0821"/>
    <w:rPr>
      <w:b/>
      <w:bCs/>
      <w:smallCaps/>
      <w:color w:val="2E74B5" w:themeColor="accent1" w:themeShade="BF"/>
      <w:spacing w:val="5"/>
    </w:rPr>
  </w:style>
  <w:style w:type="paragraph" w:customStyle="1" w:styleId="FLSHeading3Bold">
    <w:name w:val="FLS Heading 3 Bold"/>
    <w:autoRedefine/>
    <w:qFormat/>
    <w:rsid w:val="00AB0821"/>
    <w:pPr>
      <w:spacing w:after="160"/>
      <w:contextualSpacing/>
    </w:pPr>
    <w:rPr>
      <w:rFonts w:ascii="Calibri" w:hAnsi="Calibri" w:cs="Times New Roman"/>
      <w:b/>
      <w:bCs/>
      <w:color w:val="48A23F"/>
      <w:kern w:val="0"/>
      <w:sz w:val="36"/>
      <w:lang w:val="en-US"/>
      <w14:ligatures w14:val="none"/>
    </w:rPr>
  </w:style>
  <w:style w:type="paragraph" w:customStyle="1" w:styleId="FLSBody">
    <w:name w:val="FLS Body"/>
    <w:qFormat/>
    <w:rsid w:val="00AB0821"/>
    <w:pPr>
      <w:spacing w:after="120"/>
      <w:contextualSpacing/>
    </w:pPr>
    <w:rPr>
      <w:rFonts w:ascii="Calibri" w:hAnsi="Calibri"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637</Words>
  <Characters>3575</Characters>
  <Application>Microsoft Office Word</Application>
  <DocSecurity>0</DocSecurity>
  <Lines>137</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Stewart</dc:creator>
  <cp:keywords/>
  <dc:description/>
  <cp:lastModifiedBy>Meriem Kayoueche-Reeve</cp:lastModifiedBy>
  <cp:revision>7</cp:revision>
  <dcterms:created xsi:type="dcterms:W3CDTF">2025-06-30T14:05:00Z</dcterms:created>
  <dcterms:modified xsi:type="dcterms:W3CDTF">2025-11-19T16:06:00Z</dcterms:modified>
</cp:coreProperties>
</file>