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36D5" w14:textId="77777777" w:rsidR="00AB0821" w:rsidRPr="00304569" w:rsidRDefault="00AB0821" w:rsidP="00AB0821">
      <w:pPr>
        <w:pStyle w:val="FLSHeading3Bold"/>
        <w:rPr>
          <w:lang w:val="en-GB"/>
        </w:rPr>
      </w:pPr>
      <w:r w:rsidRPr="00304569">
        <w:rPr>
          <w:lang w:val="en-GB"/>
        </w:rPr>
        <w:t xml:space="preserve">Appendix </w:t>
      </w:r>
      <w:r>
        <w:rPr>
          <w:lang w:val="en-GB"/>
        </w:rPr>
        <w:t>1</w:t>
      </w:r>
      <w:r w:rsidRPr="00304569">
        <w:rPr>
          <w:lang w:val="en-GB"/>
        </w:rPr>
        <w:t>:  Consultation record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Consultation Record"/>
        <w:tblDescription w:val="This table records the issues raised and FLS response during the consultation process"/>
      </w:tblPr>
      <w:tblGrid>
        <w:gridCol w:w="2184"/>
        <w:gridCol w:w="2050"/>
        <w:gridCol w:w="5200"/>
        <w:gridCol w:w="4514"/>
      </w:tblGrid>
      <w:tr w:rsidR="00AB0821" w:rsidRPr="006C7A07" w14:paraId="2BF9FF57" w14:textId="77777777" w:rsidTr="00AB0821">
        <w:trPr>
          <w:tblHeader/>
        </w:trPr>
        <w:tc>
          <w:tcPr>
            <w:tcW w:w="783" w:type="pct"/>
            <w:shd w:val="clear" w:color="auto" w:fill="D9D9D9"/>
          </w:tcPr>
          <w:p w14:paraId="71D2FF52" w14:textId="77777777" w:rsidR="00AB0821" w:rsidRPr="00C8315C" w:rsidRDefault="00AB0821" w:rsidP="00B226B9">
            <w:pPr>
              <w:pStyle w:val="FLSBody"/>
              <w:rPr>
                <w:b/>
                <w:bCs/>
                <w:lang w:val="en-GB"/>
              </w:rPr>
            </w:pPr>
            <w:r w:rsidRPr="00C8315C">
              <w:rPr>
                <w:b/>
                <w:bCs/>
                <w:lang w:val="en-GB"/>
              </w:rPr>
              <w:t xml:space="preserve">Issue </w:t>
            </w:r>
          </w:p>
        </w:tc>
        <w:tc>
          <w:tcPr>
            <w:tcW w:w="735" w:type="pct"/>
            <w:shd w:val="clear" w:color="auto" w:fill="D9D9D9"/>
          </w:tcPr>
          <w:p w14:paraId="4699E473" w14:textId="77777777" w:rsidR="00AB0821" w:rsidRPr="00C8315C" w:rsidRDefault="00AB0821" w:rsidP="00B226B9">
            <w:pPr>
              <w:pStyle w:val="FLSBody"/>
              <w:rPr>
                <w:b/>
                <w:bCs/>
                <w:lang w:val="en-GB"/>
              </w:rPr>
            </w:pPr>
            <w:r w:rsidRPr="00C8315C">
              <w:rPr>
                <w:b/>
                <w:bCs/>
                <w:lang w:val="en-GB"/>
              </w:rPr>
              <w:t>Raised by</w:t>
            </w:r>
          </w:p>
        </w:tc>
        <w:tc>
          <w:tcPr>
            <w:tcW w:w="1864" w:type="pct"/>
            <w:shd w:val="clear" w:color="auto" w:fill="D9D9D9"/>
          </w:tcPr>
          <w:p w14:paraId="18DDECC4" w14:textId="77777777" w:rsidR="00AB0821" w:rsidRPr="00C8315C" w:rsidRDefault="00AB0821" w:rsidP="00B226B9">
            <w:pPr>
              <w:pStyle w:val="FLSBody"/>
              <w:rPr>
                <w:b/>
                <w:bCs/>
                <w:lang w:val="en-GB"/>
              </w:rPr>
            </w:pPr>
            <w:r w:rsidRPr="00C8315C">
              <w:rPr>
                <w:b/>
                <w:bCs/>
                <w:lang w:val="en-GB"/>
              </w:rPr>
              <w:t>Requirement / Recommendation / Concern / Aspiration</w:t>
            </w:r>
          </w:p>
        </w:tc>
        <w:tc>
          <w:tcPr>
            <w:tcW w:w="1618" w:type="pct"/>
            <w:shd w:val="clear" w:color="auto" w:fill="D9D9D9"/>
          </w:tcPr>
          <w:p w14:paraId="14D0DEA4" w14:textId="77777777" w:rsidR="00AB0821" w:rsidRPr="00C8315C" w:rsidRDefault="00AB0821" w:rsidP="00B226B9">
            <w:pPr>
              <w:pStyle w:val="FLSBody"/>
              <w:rPr>
                <w:b/>
                <w:bCs/>
                <w:lang w:val="en-GB"/>
              </w:rPr>
            </w:pPr>
            <w:r w:rsidRPr="00C8315C">
              <w:rPr>
                <w:b/>
                <w:bCs/>
                <w:lang w:val="en-GB"/>
              </w:rPr>
              <w:t>FLS Response</w:t>
            </w:r>
          </w:p>
        </w:tc>
      </w:tr>
      <w:tr w:rsidR="00AB0821" w:rsidRPr="00304569" w14:paraId="4CCE7823" w14:textId="77777777" w:rsidTr="00AB0821">
        <w:tc>
          <w:tcPr>
            <w:tcW w:w="783" w:type="pct"/>
          </w:tcPr>
          <w:p w14:paraId="30C56434" w14:textId="15AD61C7" w:rsidR="00AB0821" w:rsidRPr="001B68E8" w:rsidRDefault="001B68E8" w:rsidP="00B226B9">
            <w:pPr>
              <w:pStyle w:val="FLSBody"/>
              <w:rPr>
                <w:sz w:val="22"/>
                <w:szCs w:val="20"/>
                <w:lang w:val="en-GB"/>
              </w:rPr>
            </w:pPr>
            <w:r w:rsidRPr="001B68E8">
              <w:rPr>
                <w:sz w:val="22"/>
                <w:szCs w:val="20"/>
                <w:lang w:val="en-GB"/>
              </w:rPr>
              <w:t xml:space="preserve">Private </w:t>
            </w:r>
            <w:r>
              <w:rPr>
                <w:sz w:val="22"/>
                <w:szCs w:val="20"/>
                <w:lang w:val="en-GB"/>
              </w:rPr>
              <w:t>Water Supplies (PWS)</w:t>
            </w:r>
          </w:p>
        </w:tc>
        <w:tc>
          <w:tcPr>
            <w:tcW w:w="735" w:type="pct"/>
          </w:tcPr>
          <w:p w14:paraId="1FA1F031" w14:textId="4F90DADC" w:rsidR="00AB0821" w:rsidRPr="001B68E8" w:rsidRDefault="001B68E8" w:rsidP="00B226B9">
            <w:pPr>
              <w:pStyle w:val="FLSBody"/>
              <w:rPr>
                <w:sz w:val="22"/>
                <w:szCs w:val="20"/>
                <w:lang w:val="en-GB"/>
              </w:rPr>
            </w:pPr>
            <w:r>
              <w:rPr>
                <w:sz w:val="22"/>
                <w:szCs w:val="20"/>
                <w:lang w:val="en-GB"/>
              </w:rPr>
              <w:t>Various neighbouring residents</w:t>
            </w:r>
          </w:p>
        </w:tc>
        <w:tc>
          <w:tcPr>
            <w:tcW w:w="1864" w:type="pct"/>
          </w:tcPr>
          <w:p w14:paraId="22883E5A" w14:textId="254F710D" w:rsidR="00AB0821" w:rsidRPr="001B68E8" w:rsidRDefault="001B68E8" w:rsidP="00B226B9">
            <w:pPr>
              <w:pStyle w:val="FLSBody"/>
              <w:rPr>
                <w:sz w:val="22"/>
              </w:rPr>
            </w:pPr>
            <w:r>
              <w:rPr>
                <w:sz w:val="22"/>
              </w:rPr>
              <w:t>Multiple residents in the surrounding area responded to FLS’s request for information on their PWS infrastructure, providing locations for abstraction points, storage tanks and pipework.</w:t>
            </w:r>
          </w:p>
        </w:tc>
        <w:tc>
          <w:tcPr>
            <w:tcW w:w="1618" w:type="pct"/>
          </w:tcPr>
          <w:p w14:paraId="5B9C5CC3" w14:textId="77777777" w:rsidR="00AB0821" w:rsidRDefault="001B68E8" w:rsidP="00B226B9">
            <w:pPr>
              <w:pStyle w:val="FLSBody"/>
              <w:rPr>
                <w:sz w:val="22"/>
                <w:szCs w:val="20"/>
                <w:lang w:val="en-GB"/>
              </w:rPr>
            </w:pPr>
            <w:r>
              <w:rPr>
                <w:sz w:val="22"/>
                <w:szCs w:val="20"/>
                <w:lang w:val="en-GB"/>
              </w:rPr>
              <w:t>All information received has been added to FLS’s local constraints layers to be considered when planning future operations.</w:t>
            </w:r>
          </w:p>
          <w:p w14:paraId="3AD13F1D" w14:textId="77777777" w:rsidR="001B68E8" w:rsidRDefault="001B68E8" w:rsidP="00B226B9">
            <w:pPr>
              <w:pStyle w:val="FLSBody"/>
              <w:rPr>
                <w:sz w:val="22"/>
                <w:szCs w:val="20"/>
                <w:lang w:val="en-GB"/>
              </w:rPr>
            </w:pPr>
          </w:p>
          <w:p w14:paraId="4E2B29A8" w14:textId="77777777" w:rsidR="001B68E8" w:rsidRDefault="001B68E8" w:rsidP="00B226B9">
            <w:pPr>
              <w:pStyle w:val="FLSBody"/>
              <w:rPr>
                <w:sz w:val="22"/>
                <w:szCs w:val="20"/>
                <w:lang w:val="en-GB"/>
              </w:rPr>
            </w:pPr>
            <w:r>
              <w:rPr>
                <w:sz w:val="22"/>
                <w:szCs w:val="20"/>
                <w:lang w:val="en-GB"/>
              </w:rPr>
              <w:t>Open space buffers have been added to the future species map for all infrastructure located within or immediately adjacent to the forest.</w:t>
            </w:r>
          </w:p>
          <w:p w14:paraId="6FBD2AAF" w14:textId="77777777" w:rsidR="001B68E8" w:rsidRDefault="001B68E8" w:rsidP="00B226B9">
            <w:pPr>
              <w:pStyle w:val="FLSBody"/>
              <w:rPr>
                <w:sz w:val="22"/>
                <w:szCs w:val="20"/>
                <w:lang w:val="en-GB"/>
              </w:rPr>
            </w:pPr>
          </w:p>
          <w:p w14:paraId="5FCCBF29" w14:textId="7A26680C" w:rsidR="001B68E8" w:rsidRPr="001B68E8" w:rsidRDefault="001B68E8" w:rsidP="00B226B9">
            <w:pPr>
              <w:pStyle w:val="FLSBody"/>
              <w:rPr>
                <w:sz w:val="22"/>
                <w:szCs w:val="20"/>
                <w:lang w:val="en-GB"/>
              </w:rPr>
            </w:pPr>
            <w:r>
              <w:rPr>
                <w:sz w:val="22"/>
                <w:szCs w:val="20"/>
                <w:lang w:val="en-GB"/>
              </w:rPr>
              <w:t>Catchments have been calculated for any surface fed water sources to be used when planning forest operations.</w:t>
            </w:r>
          </w:p>
        </w:tc>
      </w:tr>
      <w:tr w:rsidR="00AB0821" w:rsidRPr="00304569" w14:paraId="416AA514" w14:textId="77777777" w:rsidTr="00AB0821">
        <w:tc>
          <w:tcPr>
            <w:tcW w:w="783" w:type="pct"/>
          </w:tcPr>
          <w:p w14:paraId="27E3B44D" w14:textId="727C2B38" w:rsidR="00AB0821" w:rsidRPr="001B68E8" w:rsidRDefault="001B68E8" w:rsidP="00B226B9">
            <w:pPr>
              <w:pStyle w:val="FLSBody"/>
              <w:rPr>
                <w:sz w:val="22"/>
                <w:szCs w:val="20"/>
                <w:lang w:val="en-GB"/>
              </w:rPr>
            </w:pPr>
            <w:r>
              <w:rPr>
                <w:sz w:val="22"/>
                <w:szCs w:val="20"/>
                <w:lang w:val="en-GB"/>
              </w:rPr>
              <w:t>Public Drinking Water</w:t>
            </w:r>
          </w:p>
        </w:tc>
        <w:tc>
          <w:tcPr>
            <w:tcW w:w="735" w:type="pct"/>
          </w:tcPr>
          <w:p w14:paraId="6588C2CA" w14:textId="04911835" w:rsidR="00AB0821" w:rsidRPr="001B68E8" w:rsidRDefault="001B68E8" w:rsidP="00B226B9">
            <w:pPr>
              <w:pStyle w:val="FLSBody"/>
              <w:rPr>
                <w:sz w:val="22"/>
                <w:szCs w:val="20"/>
                <w:lang w:val="en-GB"/>
              </w:rPr>
            </w:pPr>
            <w:r>
              <w:rPr>
                <w:sz w:val="22"/>
                <w:szCs w:val="20"/>
                <w:lang w:val="en-GB"/>
              </w:rPr>
              <w:t>Scottish Water</w:t>
            </w:r>
          </w:p>
        </w:tc>
        <w:tc>
          <w:tcPr>
            <w:tcW w:w="1864" w:type="pct"/>
          </w:tcPr>
          <w:p w14:paraId="19B9629E" w14:textId="77777777" w:rsidR="001B68E8" w:rsidRDefault="001B68E8" w:rsidP="001B68E8">
            <w:pPr>
              <w:rPr>
                <w:rFonts w:ascii="Aptos" w:hAnsi="Aptos"/>
              </w:rPr>
            </w:pPr>
            <w:r w:rsidRPr="00931C19">
              <w:rPr>
                <w:rFonts w:ascii="Aptos" w:hAnsi="Aptos"/>
              </w:rPr>
              <w:t>Highlighted that part of forest lie</w:t>
            </w:r>
            <w:r>
              <w:rPr>
                <w:rFonts w:ascii="Aptos" w:hAnsi="Aptos"/>
              </w:rPr>
              <w:t>s</w:t>
            </w:r>
            <w:r w:rsidRPr="00931C19">
              <w:rPr>
                <w:rFonts w:ascii="Aptos" w:hAnsi="Aptos"/>
              </w:rPr>
              <w:t xml:space="preserve"> within Dee catchment but forms only 0.85% of catchment and this is a low-risk development. Highlighted need to notify SW of any pollution incidents impacting water courses within plan area.</w:t>
            </w:r>
          </w:p>
          <w:p w14:paraId="4AA5B0E6" w14:textId="6AD21D42" w:rsidR="00AB0821" w:rsidRPr="001B68E8" w:rsidRDefault="001B68E8" w:rsidP="001B68E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Highlighted abandoned SE assets on eastern boundary.</w:t>
            </w:r>
          </w:p>
        </w:tc>
        <w:tc>
          <w:tcPr>
            <w:tcW w:w="1618" w:type="pct"/>
          </w:tcPr>
          <w:p w14:paraId="51804883" w14:textId="530B946F" w:rsidR="00AB0821" w:rsidRPr="001B68E8" w:rsidRDefault="001B68E8" w:rsidP="00B226B9">
            <w:pPr>
              <w:pStyle w:val="FLSBody"/>
              <w:rPr>
                <w:sz w:val="22"/>
                <w:szCs w:val="20"/>
                <w:lang w:val="en-GB"/>
              </w:rPr>
            </w:pPr>
            <w:r>
              <w:rPr>
                <w:rFonts w:cs="Arial"/>
                <w:sz w:val="22"/>
              </w:rPr>
              <w:t xml:space="preserve">Text </w:t>
            </w:r>
            <w:r>
              <w:rPr>
                <w:rFonts w:cs="Arial"/>
                <w:sz w:val="22"/>
              </w:rPr>
              <w:t>added</w:t>
            </w:r>
            <w:r>
              <w:rPr>
                <w:rFonts w:cs="Arial"/>
                <w:sz w:val="22"/>
              </w:rPr>
              <w:t xml:space="preserve"> to plan highlighting constraint and setting out need to contact SW should there be any pollution incidents within catchment of Gormack Burn.</w:t>
            </w:r>
          </w:p>
        </w:tc>
      </w:tr>
      <w:tr w:rsidR="00AB0821" w:rsidRPr="00304569" w14:paraId="78AD8985" w14:textId="77777777" w:rsidTr="00AB0821">
        <w:tc>
          <w:tcPr>
            <w:tcW w:w="783" w:type="pct"/>
          </w:tcPr>
          <w:p w14:paraId="334BC1CA" w14:textId="6EF2CD7E" w:rsidR="00AB0821" w:rsidRPr="001B68E8" w:rsidRDefault="001B68E8" w:rsidP="00B226B9">
            <w:pPr>
              <w:pStyle w:val="FLSBody"/>
              <w:rPr>
                <w:sz w:val="22"/>
                <w:szCs w:val="20"/>
                <w:lang w:val="en-GB"/>
              </w:rPr>
            </w:pPr>
            <w:r>
              <w:rPr>
                <w:sz w:val="22"/>
                <w:szCs w:val="20"/>
                <w:lang w:val="en-GB"/>
              </w:rPr>
              <w:t>Heritage Features</w:t>
            </w:r>
          </w:p>
        </w:tc>
        <w:tc>
          <w:tcPr>
            <w:tcW w:w="735" w:type="pct"/>
          </w:tcPr>
          <w:p w14:paraId="7C562DD5" w14:textId="6AB5759E" w:rsidR="00AB0821" w:rsidRPr="001B68E8" w:rsidRDefault="001B68E8" w:rsidP="00B226B9">
            <w:pPr>
              <w:pStyle w:val="FLSBody"/>
              <w:rPr>
                <w:sz w:val="22"/>
                <w:szCs w:val="20"/>
                <w:lang w:val="en-GB"/>
              </w:rPr>
            </w:pPr>
            <w:r>
              <w:rPr>
                <w:sz w:val="22"/>
                <w:szCs w:val="20"/>
                <w:lang w:val="en-GB"/>
              </w:rPr>
              <w:t>Aberdeenshire Council</w:t>
            </w:r>
          </w:p>
        </w:tc>
        <w:tc>
          <w:tcPr>
            <w:tcW w:w="1864" w:type="pct"/>
          </w:tcPr>
          <w:p w14:paraId="11294136" w14:textId="62E7888E" w:rsidR="00AB0821" w:rsidRPr="001B68E8" w:rsidRDefault="001B68E8" w:rsidP="00B226B9">
            <w:pPr>
              <w:pStyle w:val="FLSBody"/>
              <w:rPr>
                <w:sz w:val="22"/>
                <w:lang w:val="en-GB"/>
              </w:rPr>
            </w:pPr>
            <w:r w:rsidRPr="001B68E8">
              <w:rPr>
                <w:rFonts w:ascii="Aptos" w:hAnsi="Aptos" w:cs="Arial"/>
                <w:sz w:val="22"/>
              </w:rPr>
              <w:t>Response noting features highlighted, some of which do not appear on the HER currently.</w:t>
            </w:r>
          </w:p>
        </w:tc>
        <w:tc>
          <w:tcPr>
            <w:tcW w:w="1618" w:type="pct"/>
          </w:tcPr>
          <w:p w14:paraId="76B77FC4" w14:textId="59008A3A" w:rsidR="00AB0821" w:rsidRPr="001B68E8" w:rsidRDefault="001B68E8" w:rsidP="00B226B9">
            <w:pPr>
              <w:pStyle w:val="FLSBody"/>
              <w:rPr>
                <w:sz w:val="22"/>
                <w:szCs w:val="20"/>
                <w:lang w:val="en-GB"/>
              </w:rPr>
            </w:pPr>
            <w:r>
              <w:rPr>
                <w:rFonts w:cs="Arial"/>
                <w:sz w:val="22"/>
              </w:rPr>
              <w:t>Text in plan to highlight FLS’s policy and procedures in place to protect all significant heritage features within plan area.</w:t>
            </w:r>
          </w:p>
        </w:tc>
      </w:tr>
      <w:tr w:rsidR="00AB0821" w:rsidRPr="00304569" w14:paraId="29AF3B91" w14:textId="77777777" w:rsidTr="00AB0821">
        <w:tc>
          <w:tcPr>
            <w:tcW w:w="3382" w:type="pct"/>
            <w:gridSpan w:val="3"/>
          </w:tcPr>
          <w:p w14:paraId="35DD61D3" w14:textId="7CE6F817" w:rsidR="00AB0821" w:rsidRPr="005C0D32" w:rsidRDefault="00AB0821" w:rsidP="00B226B9">
            <w:pPr>
              <w:pStyle w:val="FLSBody"/>
              <w:rPr>
                <w:rFonts w:cs="Calibri"/>
                <w:lang w:val="en-GB"/>
              </w:rPr>
            </w:pPr>
            <w:r w:rsidRPr="005C0D32">
              <w:rPr>
                <w:rFonts w:cs="Calibri"/>
                <w:lang w:val="en-GB"/>
              </w:rPr>
              <w:t xml:space="preserve">The following stakeholders responded with no comment or no issues: </w:t>
            </w:r>
            <w:r w:rsidR="001B68E8">
              <w:rPr>
                <w:rFonts w:cs="Calibri"/>
                <w:lang w:val="en-GB"/>
              </w:rPr>
              <w:t>SEPA, Aberdeenshire Council Environmental Planning, NatureScot</w:t>
            </w:r>
          </w:p>
          <w:p w14:paraId="08FEAB61" w14:textId="77777777" w:rsidR="00AB0821" w:rsidRPr="005C0D32" w:rsidRDefault="00AB0821" w:rsidP="00B226B9">
            <w:pPr>
              <w:pStyle w:val="FLSBody"/>
              <w:rPr>
                <w:rFonts w:cs="Calibri"/>
                <w:lang w:val="en-GB"/>
              </w:rPr>
            </w:pPr>
          </w:p>
        </w:tc>
        <w:tc>
          <w:tcPr>
            <w:tcW w:w="1618" w:type="pct"/>
          </w:tcPr>
          <w:p w14:paraId="2D0165E8" w14:textId="77777777" w:rsidR="00AB0821" w:rsidRPr="00546021" w:rsidRDefault="00AB0821" w:rsidP="00B226B9">
            <w:pPr>
              <w:pStyle w:val="FLSBody"/>
              <w:rPr>
                <w:rFonts w:cs="Calibri"/>
                <w:color w:val="FF0000"/>
                <w:lang w:val="en-GB"/>
              </w:rPr>
            </w:pPr>
          </w:p>
        </w:tc>
      </w:tr>
      <w:tr w:rsidR="00AB0821" w:rsidRPr="00304569" w14:paraId="6A293A48" w14:textId="77777777" w:rsidTr="00AB0821">
        <w:tc>
          <w:tcPr>
            <w:tcW w:w="3382" w:type="pct"/>
            <w:gridSpan w:val="3"/>
          </w:tcPr>
          <w:p w14:paraId="428CEBB0" w14:textId="2FFB2E14" w:rsidR="00AB0821" w:rsidRPr="005C0D32" w:rsidRDefault="00AB0821" w:rsidP="00B226B9">
            <w:pPr>
              <w:pStyle w:val="FLSBody"/>
              <w:rPr>
                <w:rFonts w:cs="Calibri"/>
                <w:lang w:val="en-GB"/>
              </w:rPr>
            </w:pPr>
            <w:r w:rsidRPr="005C0D32">
              <w:rPr>
                <w:rFonts w:cs="Calibri"/>
                <w:lang w:val="en-GB"/>
              </w:rPr>
              <w:lastRenderedPageBreak/>
              <w:t xml:space="preserve">The following stakeholders were contacted during scoping but did not respond: </w:t>
            </w:r>
            <w:r w:rsidR="001B68E8">
              <w:rPr>
                <w:rFonts w:cs="Calibri"/>
                <w:lang w:val="en-GB"/>
              </w:rPr>
              <w:t>CONFOR, CMMCC, Forest Research, Aberdeenshire Council access, roads and water, RSPB, Dunecht Estates</w:t>
            </w:r>
          </w:p>
        </w:tc>
        <w:tc>
          <w:tcPr>
            <w:tcW w:w="1618" w:type="pct"/>
          </w:tcPr>
          <w:p w14:paraId="333A99C0" w14:textId="77777777" w:rsidR="00AB0821" w:rsidRPr="00546021" w:rsidRDefault="00AB0821" w:rsidP="00B226B9">
            <w:pPr>
              <w:pStyle w:val="FLSBody"/>
              <w:rPr>
                <w:rFonts w:cs="Calibri"/>
                <w:color w:val="FF0000"/>
                <w:lang w:val="en-GB"/>
              </w:rPr>
            </w:pPr>
          </w:p>
        </w:tc>
      </w:tr>
    </w:tbl>
    <w:p w14:paraId="0461615E" w14:textId="77777777" w:rsidR="00027C27" w:rsidRPr="009B7615" w:rsidRDefault="00027C27" w:rsidP="00B561C0"/>
    <w:sectPr w:rsidR="00027C27" w:rsidRPr="009B7615" w:rsidSect="00AB0821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5867077">
    <w:abstractNumId w:val="1"/>
  </w:num>
  <w:num w:numId="2" w16cid:durableId="1448542837">
    <w:abstractNumId w:val="0"/>
  </w:num>
  <w:num w:numId="3" w16cid:durableId="2108697244">
    <w:abstractNumId w:val="0"/>
  </w:num>
  <w:num w:numId="4" w16cid:durableId="1377394288">
    <w:abstractNumId w:val="0"/>
  </w:num>
  <w:num w:numId="5" w16cid:durableId="1348291904">
    <w:abstractNumId w:val="1"/>
  </w:num>
  <w:num w:numId="6" w16cid:durableId="1020475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21"/>
    <w:rsid w:val="00027C27"/>
    <w:rsid w:val="000C0CF4"/>
    <w:rsid w:val="001B68E8"/>
    <w:rsid w:val="00281579"/>
    <w:rsid w:val="00306C61"/>
    <w:rsid w:val="0037582B"/>
    <w:rsid w:val="00582A4F"/>
    <w:rsid w:val="005C1E9D"/>
    <w:rsid w:val="00857548"/>
    <w:rsid w:val="008D0E4D"/>
    <w:rsid w:val="00941721"/>
    <w:rsid w:val="009B7615"/>
    <w:rsid w:val="00AB0821"/>
    <w:rsid w:val="00B51BDC"/>
    <w:rsid w:val="00B561C0"/>
    <w:rsid w:val="00B773CE"/>
    <w:rsid w:val="00C91823"/>
    <w:rsid w:val="00D008AB"/>
    <w:rsid w:val="00ED232B"/>
    <w:rsid w:val="00ED2D12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ADE29"/>
  <w15:chartTrackingRefBased/>
  <w15:docId w15:val="{A0160E24-2658-4655-9CD4-8E596283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821"/>
    <w:pPr>
      <w:spacing w:after="200" w:line="276" w:lineRule="auto"/>
    </w:pPr>
    <w:rPr>
      <w:rFonts w:ascii="Calibri" w:hAnsi="Calibri" w:cs="Times New Roman"/>
      <w:kern w:val="0"/>
      <w:lang w:val="en-US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spacing w:after="0" w:line="240" w:lineRule="auto"/>
      <w:outlineLvl w:val="0"/>
    </w:pPr>
    <w:rPr>
      <w:rFonts w:ascii="Arial" w:hAnsi="Arial"/>
      <w:kern w:val="24"/>
      <w:sz w:val="24"/>
      <w:szCs w:val="20"/>
      <w:lang w:val="en-GB"/>
      <w14:ligatures w14:val="standardContextual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spacing w:after="0" w:line="240" w:lineRule="auto"/>
      <w:outlineLvl w:val="1"/>
    </w:pPr>
    <w:rPr>
      <w:rFonts w:ascii="Arial" w:hAnsi="Arial"/>
      <w:kern w:val="24"/>
      <w:sz w:val="24"/>
      <w:szCs w:val="20"/>
      <w:lang w:val="en-GB"/>
      <w14:ligatures w14:val="standardContextual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spacing w:after="0" w:line="240" w:lineRule="auto"/>
      <w:outlineLvl w:val="2"/>
    </w:pPr>
    <w:rPr>
      <w:rFonts w:ascii="Arial" w:hAnsi="Arial"/>
      <w:kern w:val="24"/>
      <w:sz w:val="24"/>
      <w:szCs w:val="20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B0821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0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821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0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821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0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821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0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821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0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821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0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  <w:spacing w:after="0" w:line="240" w:lineRule="auto"/>
    </w:pPr>
    <w:rPr>
      <w:rFonts w:ascii="Arial" w:hAnsi="Arial"/>
      <w:kern w:val="2"/>
      <w:sz w:val="24"/>
      <w:szCs w:val="20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  <w:spacing w:after="0" w:line="240" w:lineRule="auto"/>
    </w:pPr>
    <w:rPr>
      <w:rFonts w:ascii="Arial" w:hAnsi="Arial"/>
      <w:kern w:val="2"/>
      <w:sz w:val="24"/>
      <w:szCs w:val="20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821"/>
    <w:rPr>
      <w:rFonts w:eastAsiaTheme="majorEastAsia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821"/>
    <w:rPr>
      <w:rFonts w:eastAsiaTheme="majorEastAsia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821"/>
    <w:rPr>
      <w:rFonts w:eastAsiaTheme="majorEastAsia" w:cstheme="majorBidi"/>
      <w:i/>
      <w:iCs/>
      <w:color w:val="595959" w:themeColor="text1" w:themeTint="A6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821"/>
    <w:rPr>
      <w:rFonts w:eastAsiaTheme="majorEastAsia" w:cstheme="majorBidi"/>
      <w:color w:val="595959" w:themeColor="text1" w:themeTint="A6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821"/>
    <w:rPr>
      <w:rFonts w:eastAsiaTheme="majorEastAsia" w:cstheme="majorBidi"/>
      <w:i/>
      <w:iCs/>
      <w:color w:val="272727" w:themeColor="text1" w:themeTint="D8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821"/>
    <w:rPr>
      <w:rFonts w:eastAsiaTheme="majorEastAsia" w:cstheme="majorBidi"/>
      <w:color w:val="272727" w:themeColor="text1" w:themeTint="D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B0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0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821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0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821"/>
    <w:pPr>
      <w:spacing w:before="160" w:after="160" w:line="240" w:lineRule="auto"/>
      <w:jc w:val="center"/>
    </w:pPr>
    <w:rPr>
      <w:rFonts w:ascii="Arial" w:hAnsi="Arial"/>
      <w:i/>
      <w:iCs/>
      <w:color w:val="404040" w:themeColor="text1" w:themeTint="BF"/>
      <w:kern w:val="2"/>
      <w:sz w:val="24"/>
      <w:szCs w:val="20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0821"/>
    <w:rPr>
      <w:rFonts w:ascii="Arial" w:hAnsi="Arial" w:cs="Times New Roman"/>
      <w:i/>
      <w:iCs/>
      <w:color w:val="404040" w:themeColor="text1" w:themeTint="BF"/>
      <w:sz w:val="24"/>
      <w:szCs w:val="20"/>
    </w:rPr>
  </w:style>
  <w:style w:type="paragraph" w:styleId="ListParagraph">
    <w:name w:val="List Paragraph"/>
    <w:basedOn w:val="Normal"/>
    <w:uiPriority w:val="34"/>
    <w:qFormat/>
    <w:rsid w:val="00AB0821"/>
    <w:pPr>
      <w:spacing w:after="0" w:line="240" w:lineRule="auto"/>
      <w:ind w:left="720"/>
      <w:contextualSpacing/>
    </w:pPr>
    <w:rPr>
      <w:rFonts w:ascii="Arial" w:hAnsi="Arial"/>
      <w:kern w:val="2"/>
      <w:sz w:val="24"/>
      <w:szCs w:val="20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082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8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Arial" w:hAnsi="Arial"/>
      <w:i/>
      <w:iCs/>
      <w:color w:val="2E74B5" w:themeColor="accent1" w:themeShade="BF"/>
      <w:kern w:val="2"/>
      <w:sz w:val="24"/>
      <w:szCs w:val="20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821"/>
    <w:rPr>
      <w:rFonts w:ascii="Arial" w:hAnsi="Arial" w:cs="Times New Roman"/>
      <w:i/>
      <w:iCs/>
      <w:color w:val="2E74B5" w:themeColor="accent1" w:themeShade="BF"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B0821"/>
    <w:rPr>
      <w:b/>
      <w:bCs/>
      <w:smallCaps/>
      <w:color w:val="2E74B5" w:themeColor="accent1" w:themeShade="BF"/>
      <w:spacing w:val="5"/>
    </w:rPr>
  </w:style>
  <w:style w:type="paragraph" w:customStyle="1" w:styleId="FLSHeading3Bold">
    <w:name w:val="FLS Heading 3 Bold"/>
    <w:autoRedefine/>
    <w:qFormat/>
    <w:rsid w:val="00AB0821"/>
    <w:pPr>
      <w:spacing w:after="160"/>
      <w:contextualSpacing/>
    </w:pPr>
    <w:rPr>
      <w:rFonts w:ascii="Calibri" w:hAnsi="Calibri" w:cs="Times New Roman"/>
      <w:b/>
      <w:bCs/>
      <w:color w:val="48A23F"/>
      <w:kern w:val="0"/>
      <w:sz w:val="36"/>
      <w:lang w:val="en-US"/>
      <w14:ligatures w14:val="none"/>
    </w:rPr>
  </w:style>
  <w:style w:type="paragraph" w:customStyle="1" w:styleId="FLSBody">
    <w:name w:val="FLS Body"/>
    <w:qFormat/>
    <w:rsid w:val="00AB0821"/>
    <w:pPr>
      <w:spacing w:after="120"/>
      <w:contextualSpacing/>
    </w:pPr>
    <w:rPr>
      <w:rFonts w:ascii="Calibri" w:hAnsi="Calibri" w:cs="Times New Roman"/>
      <w:kern w:val="0"/>
      <w:sz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265</Words>
  <Characters>1513</Characters>
  <Application>Microsoft Office Word</Application>
  <DocSecurity>0</DocSecurity>
  <Lines>12</Lines>
  <Paragraphs>3</Paragraphs>
  <ScaleCrop>false</ScaleCrop>
  <Company>Scottish Government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Euan Stewart</dc:creator>
  <cp:keywords/>
  <dc:description/>
  <cp:lastModifiedBy>Euan Stewart</cp:lastModifiedBy>
  <cp:revision>4</cp:revision>
  <dcterms:created xsi:type="dcterms:W3CDTF">2025-07-16T09:57:00Z</dcterms:created>
  <dcterms:modified xsi:type="dcterms:W3CDTF">2025-07-16T11:12:00Z</dcterms:modified>
</cp:coreProperties>
</file>